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75BF0" w14:textId="77777777" w:rsidR="00B11EFC" w:rsidRPr="00B11EFC" w:rsidRDefault="00B11EFC" w:rsidP="00B11EFC">
      <w:pPr>
        <w:spacing w:after="0" w:line="240" w:lineRule="auto"/>
        <w:rPr>
          <w:rFonts w:ascii="Cambria" w:eastAsia="SimSun" w:hAnsi="Cambria" w:cs="Cambria"/>
          <w:b/>
          <w:bCs/>
          <w:kern w:val="0"/>
          <w:sz w:val="22"/>
          <w:szCs w:val="22"/>
          <w:lang w:eastAsia="hr-HR"/>
          <w14:ligatures w14:val="none"/>
        </w:rPr>
      </w:pPr>
      <w:bookmarkStart w:id="0" w:name="_GoBack"/>
      <w:bookmarkEnd w:id="0"/>
      <w:r w:rsidRPr="00B11EFC">
        <w:rPr>
          <w:rFonts w:ascii="Cambria" w:eastAsia="SimSun" w:hAnsi="Cambria" w:cs="Cambria"/>
          <w:b/>
          <w:bCs/>
          <w:kern w:val="0"/>
          <w:sz w:val="22"/>
          <w:szCs w:val="22"/>
          <w:lang w:eastAsia="hr-HR"/>
          <w14:ligatures w14:val="none"/>
        </w:rPr>
        <w:t>Dječji vrtić Ston</w:t>
      </w:r>
    </w:p>
    <w:p w14:paraId="78CED11D" w14:textId="77777777" w:rsidR="00B11EFC" w:rsidRPr="00B11EFC" w:rsidRDefault="00B11EFC" w:rsidP="00B11EFC">
      <w:pPr>
        <w:spacing w:after="0" w:line="240" w:lineRule="auto"/>
        <w:jc w:val="both"/>
        <w:rPr>
          <w:rFonts w:ascii="Cambria" w:eastAsia="SimSun" w:hAnsi="Cambria" w:cs="Cambria"/>
          <w:kern w:val="0"/>
          <w:sz w:val="22"/>
          <w:szCs w:val="22"/>
          <w:lang w:eastAsia="hr-HR"/>
          <w14:ligatures w14:val="none"/>
        </w:rPr>
      </w:pPr>
      <w:r w:rsidRPr="00B11EFC">
        <w:rPr>
          <w:rFonts w:ascii="Cambria" w:eastAsia="SimSun" w:hAnsi="Cambria" w:cs="Cambria"/>
          <w:kern w:val="0"/>
          <w:sz w:val="22"/>
          <w:szCs w:val="22"/>
          <w:lang w:eastAsia="hr-HR"/>
          <w14:ligatures w14:val="none"/>
        </w:rPr>
        <w:t>Put braće Mihanović 4</w:t>
      </w:r>
    </w:p>
    <w:p w14:paraId="313937F4" w14:textId="77777777" w:rsidR="00B11EFC" w:rsidRPr="00B11EFC" w:rsidRDefault="00B11EFC" w:rsidP="00B11EFC">
      <w:pPr>
        <w:spacing w:after="0" w:line="240" w:lineRule="auto"/>
        <w:jc w:val="both"/>
        <w:rPr>
          <w:rFonts w:ascii="Cambria" w:eastAsia="SimSun" w:hAnsi="Cambria" w:cs="Cambria"/>
          <w:kern w:val="0"/>
          <w:sz w:val="22"/>
          <w:szCs w:val="22"/>
          <w:lang w:eastAsia="hr-HR"/>
          <w14:ligatures w14:val="none"/>
        </w:rPr>
      </w:pPr>
      <w:r w:rsidRPr="00B11EFC">
        <w:rPr>
          <w:rFonts w:ascii="Cambria" w:eastAsia="SimSun" w:hAnsi="Cambria" w:cs="Cambria"/>
          <w:kern w:val="0"/>
          <w:sz w:val="22"/>
          <w:szCs w:val="22"/>
          <w:lang w:eastAsia="hr-HR"/>
          <w14:ligatures w14:val="none"/>
        </w:rPr>
        <w:t xml:space="preserve">20230 Ston </w:t>
      </w:r>
    </w:p>
    <w:p w14:paraId="7B244D33" w14:textId="77777777" w:rsidR="00B11EFC" w:rsidRPr="00B11EFC" w:rsidRDefault="00B11EFC" w:rsidP="00B11EFC">
      <w:pPr>
        <w:spacing w:after="0" w:line="240" w:lineRule="auto"/>
        <w:jc w:val="both"/>
        <w:rPr>
          <w:rFonts w:ascii="Cambria" w:eastAsia="SimSun" w:hAnsi="Cambria" w:cs="Cambria"/>
          <w:kern w:val="0"/>
          <w:sz w:val="22"/>
          <w:szCs w:val="22"/>
          <w:shd w:val="clear" w:color="auto" w:fill="FFFFFF"/>
          <w:lang w:eastAsia="hr-HR"/>
          <w14:ligatures w14:val="none"/>
        </w:rPr>
      </w:pPr>
      <w:r w:rsidRPr="00B11EFC">
        <w:rPr>
          <w:rFonts w:ascii="Cambria" w:eastAsia="SimSun" w:hAnsi="Cambria" w:cs="Cambria"/>
          <w:kern w:val="0"/>
          <w:sz w:val="22"/>
          <w:szCs w:val="22"/>
          <w:lang w:eastAsia="hr-HR"/>
          <w14:ligatures w14:val="none"/>
        </w:rPr>
        <w:t xml:space="preserve">tel. </w:t>
      </w:r>
      <w:r w:rsidRPr="00B11EFC">
        <w:rPr>
          <w:rFonts w:ascii="Cambria" w:eastAsia="SimSun" w:hAnsi="Cambria" w:cs="Cambria"/>
          <w:kern w:val="0"/>
          <w:sz w:val="22"/>
          <w:szCs w:val="22"/>
          <w:shd w:val="clear" w:color="auto" w:fill="FFFFFF"/>
          <w:lang w:eastAsia="hr-HR"/>
          <w14:ligatures w14:val="none"/>
        </w:rPr>
        <w:t>020/754-644</w:t>
      </w:r>
    </w:p>
    <w:p w14:paraId="3AB29B42" w14:textId="77777777" w:rsidR="00B11EFC" w:rsidRPr="00B11EFC" w:rsidRDefault="00B11EFC" w:rsidP="00B11EFC">
      <w:pPr>
        <w:spacing w:after="0" w:line="210" w:lineRule="atLeast"/>
        <w:textAlignment w:val="baseline"/>
        <w:rPr>
          <w:rFonts w:ascii="Cambria" w:eastAsia="SimSun" w:hAnsi="Cambria" w:cs="Cambria"/>
          <w:kern w:val="0"/>
          <w:sz w:val="22"/>
          <w:szCs w:val="22"/>
          <w:lang w:val="en-US" w:eastAsia="zh-CN"/>
          <w14:ligatures w14:val="none"/>
        </w:rPr>
      </w:pPr>
      <w:proofErr w:type="gramStart"/>
      <w:r w:rsidRPr="00B11EFC">
        <w:rPr>
          <w:rFonts w:ascii="Cambria" w:eastAsia="SimSun" w:hAnsi="Cambria" w:cs="Cambria"/>
          <w:kern w:val="0"/>
          <w:sz w:val="22"/>
          <w:szCs w:val="22"/>
          <w:lang w:val="en-US" w:eastAsia="zh-CN"/>
          <w14:ligatures w14:val="none"/>
        </w:rPr>
        <w:t>e</w:t>
      </w:r>
      <w:proofErr w:type="gramEnd"/>
      <w:r w:rsidRPr="00B11EFC">
        <w:rPr>
          <w:rFonts w:ascii="Cambria" w:eastAsia="SimSun" w:hAnsi="Cambria" w:cs="Cambria"/>
          <w:kern w:val="0"/>
          <w:sz w:val="22"/>
          <w:szCs w:val="22"/>
          <w:lang w:val="en-US" w:eastAsia="zh-CN"/>
          <w14:ligatures w14:val="none"/>
        </w:rPr>
        <w:t xml:space="preserve"> mail: </w:t>
      </w:r>
      <w:hyperlink r:id="rId5" w:history="1">
        <w:r w:rsidRPr="00B11EFC">
          <w:rPr>
            <w:rFonts w:ascii="Cambria" w:eastAsia="SimSun" w:hAnsi="Cambria" w:cs="Cambria"/>
            <w:b/>
            <w:bCs/>
            <w:kern w:val="0"/>
            <w:sz w:val="22"/>
            <w:szCs w:val="22"/>
            <w:lang w:val="en-US" w:eastAsia="zh-CN"/>
            <w14:ligatures w14:val="none"/>
          </w:rPr>
          <w:t>vrticston@gmail.com</w:t>
        </w:r>
      </w:hyperlink>
    </w:p>
    <w:p w14:paraId="70FB0505" w14:textId="77777777" w:rsidR="00B11EFC" w:rsidRPr="00B11EFC" w:rsidRDefault="00B11EFC" w:rsidP="00B11EFC">
      <w:pPr>
        <w:spacing w:after="0" w:line="240" w:lineRule="auto"/>
        <w:rPr>
          <w:rFonts w:ascii="Cambria" w:eastAsia="SimSun" w:hAnsi="Cambria" w:cs="Cambria"/>
          <w:kern w:val="0"/>
          <w:sz w:val="22"/>
          <w:szCs w:val="22"/>
          <w:lang w:eastAsia="hr-HR"/>
          <w14:ligatures w14:val="none"/>
        </w:rPr>
      </w:pPr>
      <w:r w:rsidRPr="00B11EFC">
        <w:rPr>
          <w:rFonts w:ascii="Cambria" w:eastAsia="SimSun" w:hAnsi="Cambria" w:cs="Cambria"/>
          <w:kern w:val="0"/>
          <w:sz w:val="22"/>
          <w:szCs w:val="22"/>
          <w:lang w:eastAsia="hr-HR"/>
          <w14:ligatures w14:val="none"/>
        </w:rPr>
        <w:t xml:space="preserve">www.djecji-vrtic-ston.hr   </w:t>
      </w:r>
    </w:p>
    <w:p w14:paraId="68FC8D0C" w14:textId="77777777" w:rsidR="00B11EFC" w:rsidRPr="00B11EFC" w:rsidRDefault="00B11EFC" w:rsidP="00B11EFC">
      <w:pPr>
        <w:spacing w:after="0" w:line="240" w:lineRule="auto"/>
        <w:rPr>
          <w:rFonts w:ascii="Cambria" w:eastAsia="SimSun" w:hAnsi="Cambria" w:cs="Cambria"/>
          <w:kern w:val="0"/>
          <w:sz w:val="22"/>
          <w:szCs w:val="22"/>
          <w:lang w:eastAsia="hr-HR"/>
          <w14:ligatures w14:val="none"/>
        </w:rPr>
      </w:pPr>
      <w:r w:rsidRPr="00B11EFC">
        <w:rPr>
          <w:rFonts w:ascii="Cambria" w:eastAsia="SimSun" w:hAnsi="Cambria" w:cs="Cambria"/>
          <w:kern w:val="0"/>
          <w:sz w:val="22"/>
          <w:szCs w:val="22"/>
          <w:lang w:eastAsia="hr-HR"/>
          <w14:ligatures w14:val="none"/>
        </w:rPr>
        <w:t>Ston, 16.03.2026.</w:t>
      </w:r>
    </w:p>
    <w:p w14:paraId="3BBBE57E" w14:textId="77777777" w:rsidR="00B11EFC" w:rsidRPr="00B11EFC" w:rsidRDefault="00B11EFC" w:rsidP="00B11EFC">
      <w:pPr>
        <w:spacing w:after="0" w:line="240" w:lineRule="auto"/>
        <w:rPr>
          <w:rFonts w:ascii="Cambria" w:eastAsia="SimSun" w:hAnsi="Cambria" w:cs="Cambria"/>
          <w:kern w:val="0"/>
          <w:sz w:val="22"/>
          <w:szCs w:val="22"/>
          <w:lang w:eastAsia="hr-HR"/>
          <w14:ligatures w14:val="none"/>
        </w:rPr>
      </w:pPr>
    </w:p>
    <w:p w14:paraId="325FEE56" w14:textId="77777777" w:rsidR="00B11EFC" w:rsidRPr="00B11EFC" w:rsidRDefault="00B11EFC" w:rsidP="00B11EFC">
      <w:pPr>
        <w:spacing w:after="0" w:line="360" w:lineRule="auto"/>
        <w:jc w:val="both"/>
        <w:rPr>
          <w:rFonts w:ascii="Cambria" w:eastAsia="SimSun" w:hAnsi="Cambria" w:cs="Cambria"/>
          <w:kern w:val="0"/>
          <w:sz w:val="22"/>
          <w:szCs w:val="22"/>
          <w:lang w:eastAsia="hr-HR"/>
          <w14:ligatures w14:val="none"/>
        </w:rPr>
      </w:pPr>
      <w:r w:rsidRPr="00B11EFC">
        <w:rPr>
          <w:rFonts w:ascii="Cambria" w:eastAsia="SimSun" w:hAnsi="Cambria" w:cs="Cambria"/>
          <w:b/>
          <w:kern w:val="0"/>
          <w:sz w:val="22"/>
          <w:szCs w:val="22"/>
          <w:lang w:eastAsia="hr-HR"/>
          <w14:ligatures w14:val="none"/>
        </w:rPr>
        <w:t>Broj RKP-a:</w:t>
      </w:r>
      <w:r w:rsidRPr="00B11EFC">
        <w:rPr>
          <w:rFonts w:ascii="Cambria" w:eastAsia="SimSun" w:hAnsi="Cambria" w:cs="Cambria"/>
          <w:kern w:val="0"/>
          <w:sz w:val="22"/>
          <w:szCs w:val="22"/>
          <w:lang w:eastAsia="hr-HR"/>
          <w14:ligatures w14:val="none"/>
        </w:rPr>
        <w:t xml:space="preserve"> 32150</w:t>
      </w:r>
    </w:p>
    <w:p w14:paraId="254731BC" w14:textId="77777777" w:rsidR="00B11EFC" w:rsidRPr="00B11EFC" w:rsidRDefault="00B11EFC" w:rsidP="00B11EFC">
      <w:pPr>
        <w:spacing w:after="0" w:line="360" w:lineRule="auto"/>
        <w:jc w:val="both"/>
        <w:rPr>
          <w:rFonts w:ascii="Cambria" w:eastAsia="SimSun" w:hAnsi="Cambria" w:cs="Cambria"/>
          <w:kern w:val="0"/>
          <w:sz w:val="22"/>
          <w:szCs w:val="22"/>
          <w:lang w:eastAsia="hr-HR"/>
          <w14:ligatures w14:val="none"/>
        </w:rPr>
      </w:pPr>
      <w:r w:rsidRPr="00B11EFC">
        <w:rPr>
          <w:rFonts w:ascii="Cambria" w:eastAsia="SimSun" w:hAnsi="Cambria" w:cs="Cambria"/>
          <w:b/>
          <w:kern w:val="0"/>
          <w:sz w:val="22"/>
          <w:szCs w:val="22"/>
          <w:lang w:eastAsia="hr-HR"/>
          <w14:ligatures w14:val="none"/>
        </w:rPr>
        <w:t>OIB:</w:t>
      </w:r>
      <w:r w:rsidRPr="00B11EFC">
        <w:rPr>
          <w:rFonts w:ascii="Cambria" w:eastAsia="SimSun" w:hAnsi="Cambria" w:cs="Cambria"/>
          <w:kern w:val="0"/>
          <w:sz w:val="22"/>
          <w:szCs w:val="22"/>
          <w:lang w:eastAsia="hr-HR"/>
          <w14:ligatures w14:val="none"/>
        </w:rPr>
        <w:t xml:space="preserve"> 51691342264</w:t>
      </w:r>
    </w:p>
    <w:p w14:paraId="374BC0A1" w14:textId="77777777" w:rsidR="00B11EFC" w:rsidRPr="00B11EFC" w:rsidRDefault="00B11EFC" w:rsidP="00B11EFC">
      <w:pPr>
        <w:spacing w:after="0" w:line="240" w:lineRule="auto"/>
        <w:rPr>
          <w:rFonts w:ascii="Times New Roman" w:eastAsia="SimSun" w:hAnsi="Times New Roman" w:cs="Times New Roman"/>
          <w:b/>
          <w:bCs/>
          <w:kern w:val="0"/>
          <w:lang w:eastAsia="hr-HR"/>
          <w14:ligatures w14:val="none"/>
        </w:rPr>
      </w:pPr>
      <w:r w:rsidRPr="00B11EFC">
        <w:rPr>
          <w:rFonts w:ascii="Cambria" w:eastAsia="SimSun" w:hAnsi="Cambria" w:cs="Cambria"/>
          <w:b/>
          <w:kern w:val="0"/>
          <w:sz w:val="22"/>
          <w:szCs w:val="22"/>
          <w:lang w:eastAsia="hr-HR"/>
          <w14:ligatures w14:val="none"/>
        </w:rPr>
        <w:t>Oznaka razine:</w:t>
      </w:r>
      <w:r w:rsidRPr="00B11EFC">
        <w:rPr>
          <w:rFonts w:ascii="Cambria" w:eastAsia="SimSun" w:hAnsi="Cambria" w:cs="Cambria"/>
          <w:kern w:val="0"/>
          <w:sz w:val="22"/>
          <w:szCs w:val="22"/>
          <w:lang w:eastAsia="hr-HR"/>
          <w14:ligatures w14:val="none"/>
        </w:rPr>
        <w:t xml:space="preserve"> 21</w:t>
      </w:r>
    </w:p>
    <w:p w14:paraId="7029B754" w14:textId="77777777" w:rsidR="00B11EFC" w:rsidRPr="00B11EFC" w:rsidRDefault="00B11EFC" w:rsidP="00B11EFC">
      <w:pPr>
        <w:spacing w:after="0" w:line="240" w:lineRule="auto"/>
        <w:rPr>
          <w:rFonts w:ascii="Times New Roman" w:eastAsia="SimSun" w:hAnsi="Times New Roman" w:cs="Times New Roman"/>
          <w:b/>
          <w:bCs/>
          <w:kern w:val="0"/>
          <w:lang w:eastAsia="hr-HR"/>
          <w14:ligatures w14:val="none"/>
        </w:rPr>
      </w:pPr>
    </w:p>
    <w:p w14:paraId="0B6AFF5D" w14:textId="77777777" w:rsidR="00B11EFC" w:rsidRPr="00B11EFC" w:rsidRDefault="00B11EFC" w:rsidP="00B11EFC">
      <w:pPr>
        <w:spacing w:after="0" w:line="240" w:lineRule="auto"/>
        <w:rPr>
          <w:rFonts w:ascii="Times New Roman" w:eastAsia="SimSun" w:hAnsi="Times New Roman" w:cs="Times New Roman"/>
          <w:b/>
          <w:bCs/>
          <w:kern w:val="0"/>
          <w:lang w:eastAsia="hr-HR"/>
          <w14:ligatures w14:val="none"/>
        </w:rPr>
      </w:pPr>
    </w:p>
    <w:p w14:paraId="22D3515A" w14:textId="77777777" w:rsidR="00B11EFC" w:rsidRPr="00B11EFC" w:rsidRDefault="00B11EFC" w:rsidP="00B11EFC">
      <w:pPr>
        <w:spacing w:after="0" w:line="240" w:lineRule="auto"/>
        <w:jc w:val="center"/>
        <w:rPr>
          <w:rFonts w:ascii="Times New Roman" w:eastAsia="Arial" w:hAnsi="Times New Roman" w:cs="Times New Roman"/>
          <w:b/>
          <w:bCs/>
          <w:kern w:val="0"/>
          <w:lang w:eastAsia="hr-HR"/>
          <w14:ligatures w14:val="none"/>
        </w:rPr>
      </w:pPr>
      <w:r w:rsidRPr="00B11EFC">
        <w:rPr>
          <w:rFonts w:ascii="Times New Roman" w:eastAsia="Arial" w:hAnsi="Times New Roman" w:cs="Times New Roman"/>
          <w:b/>
          <w:bCs/>
          <w:kern w:val="0"/>
          <w:lang w:eastAsia="hr-HR"/>
          <w14:ligatures w14:val="none"/>
        </w:rPr>
        <w:t>OBRAZLOŽENJE</w:t>
      </w:r>
    </w:p>
    <w:p w14:paraId="1FE4B6E0" w14:textId="77777777" w:rsidR="00B11EFC" w:rsidRPr="00B11EFC" w:rsidRDefault="00B11EFC" w:rsidP="00B11EFC">
      <w:pPr>
        <w:spacing w:after="0" w:line="240" w:lineRule="auto"/>
        <w:jc w:val="center"/>
        <w:rPr>
          <w:rFonts w:ascii="Times New Roman" w:eastAsia="SimSun" w:hAnsi="Times New Roman" w:cs="Times New Roman"/>
          <w:kern w:val="0"/>
          <w:lang w:eastAsia="hr-HR"/>
          <w14:ligatures w14:val="none"/>
        </w:rPr>
      </w:pPr>
      <w:r w:rsidRPr="00B11EFC">
        <w:rPr>
          <w:rFonts w:ascii="Times New Roman" w:eastAsia="Arial" w:hAnsi="Times New Roman" w:cs="Times New Roman"/>
          <w:b/>
          <w:bCs/>
          <w:kern w:val="0"/>
          <w:lang w:eastAsia="hr-HR"/>
          <w14:ligatures w14:val="none"/>
        </w:rPr>
        <w:t>O IZVRŠENJU FINANCIJSKOG PLANA DJEČJEG VRTIĆA STON ZA RAZDOBLJE SIJEČANJ-PROSINAC 2025. GODINE</w:t>
      </w:r>
    </w:p>
    <w:p w14:paraId="2448664D" w14:textId="77777777" w:rsidR="00B11EFC" w:rsidRPr="00B11EFC" w:rsidRDefault="00B11EFC" w:rsidP="00B11EFC">
      <w:pPr>
        <w:spacing w:after="0" w:line="240" w:lineRule="auto"/>
        <w:ind w:firstLine="720"/>
        <w:rPr>
          <w:rFonts w:ascii="Times New Roman" w:eastAsia="SimSun" w:hAnsi="Times New Roman" w:cs="Times New Roman"/>
          <w:kern w:val="0"/>
          <w:lang w:eastAsia="hr-HR"/>
          <w14:ligatures w14:val="none"/>
        </w:rPr>
      </w:pPr>
    </w:p>
    <w:p w14:paraId="088950EC" w14:textId="77777777" w:rsidR="00B11EFC" w:rsidRPr="00B11EFC" w:rsidRDefault="00B11EFC" w:rsidP="005F7729">
      <w:pPr>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 xml:space="preserve">Člankom 79. Zakona o proračunu („Narodne novine“ broj 144/21) i člankom 4. Pravilnika o polugodišnjem i godišnjem izvještaju o izvršenju proračuna i financijskog plana ("Narodne novine“ broj 85/23) propisan je sadržaj godišnjeg izvještaja o izvršenju proračuna proračunskih korisnika jedinica lokalne samouprave. </w:t>
      </w:r>
    </w:p>
    <w:p w14:paraId="16F22303" w14:textId="77777777" w:rsidR="00B11EFC" w:rsidRPr="00B11EFC" w:rsidRDefault="00B11EFC" w:rsidP="00B11EFC">
      <w:pPr>
        <w:spacing w:after="0" w:line="360" w:lineRule="auto"/>
        <w:ind w:firstLine="360"/>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Godišnji izvještaj o izvršenju proračuna sadrži:</w:t>
      </w:r>
    </w:p>
    <w:p w14:paraId="6235E32F" w14:textId="77777777" w:rsidR="00B11EFC" w:rsidRPr="00B11EFC" w:rsidRDefault="00B11EFC" w:rsidP="00B11EFC">
      <w:pPr>
        <w:widowControl w:val="0"/>
        <w:numPr>
          <w:ilvl w:val="0"/>
          <w:numId w:val="1"/>
        </w:numPr>
        <w:tabs>
          <w:tab w:val="left" w:pos="0"/>
        </w:tabs>
        <w:suppressAutoHyphens/>
        <w:autoSpaceDE w:val="0"/>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Opći dio proračuna koji čini Račun prihoda i rashoda iskazanih prema izvorima financiranja i ekonomskoj klasifikaciji te rashoda iskazanih prema funkcijskoj klasifikaciji, i Račun financiranja prema izvorima financiranja i ekonomskoj klasifikaciji.</w:t>
      </w:r>
    </w:p>
    <w:p w14:paraId="48596BA6" w14:textId="77777777" w:rsidR="00B11EFC" w:rsidRPr="00B11EFC" w:rsidRDefault="00B11EFC" w:rsidP="00B11EFC">
      <w:pPr>
        <w:widowControl w:val="0"/>
        <w:numPr>
          <w:ilvl w:val="0"/>
          <w:numId w:val="1"/>
        </w:numPr>
        <w:tabs>
          <w:tab w:val="left" w:pos="0"/>
        </w:tabs>
        <w:suppressAutoHyphens/>
        <w:autoSpaceDE w:val="0"/>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Posebni dio proračuna po organizacijskoj klasifikaciji, izvorima financiranja i ekonomskoj klasifikaciji, raspoređenih u programe koji se sastoje od aktivnosti i projekata;</w:t>
      </w:r>
    </w:p>
    <w:p w14:paraId="29839686" w14:textId="77777777" w:rsidR="00B11EFC" w:rsidRPr="00B11EFC" w:rsidRDefault="00B11EFC" w:rsidP="00B11EFC">
      <w:pPr>
        <w:widowControl w:val="0"/>
        <w:numPr>
          <w:ilvl w:val="0"/>
          <w:numId w:val="1"/>
        </w:numPr>
        <w:tabs>
          <w:tab w:val="left" w:pos="0"/>
        </w:tabs>
        <w:suppressAutoHyphens/>
        <w:autoSpaceDE w:val="0"/>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Izvještaj o zaduživanju na domaćem i stranom tržištu novca i kapitala</w:t>
      </w:r>
    </w:p>
    <w:p w14:paraId="383256A4" w14:textId="77777777" w:rsidR="00B11EFC" w:rsidRPr="00B11EFC" w:rsidRDefault="00B11EFC" w:rsidP="00B11EFC">
      <w:pPr>
        <w:widowControl w:val="0"/>
        <w:numPr>
          <w:ilvl w:val="0"/>
          <w:numId w:val="1"/>
        </w:numPr>
        <w:tabs>
          <w:tab w:val="left" w:pos="0"/>
        </w:tabs>
        <w:suppressAutoHyphens/>
        <w:autoSpaceDE w:val="0"/>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Izvještaj o danim zajmovima i potraživanjima po danim zajmovima</w:t>
      </w:r>
    </w:p>
    <w:p w14:paraId="7E32A1BF" w14:textId="77777777" w:rsidR="00B11EFC" w:rsidRPr="00B11EFC" w:rsidRDefault="00B11EFC" w:rsidP="00B11EFC">
      <w:pPr>
        <w:widowControl w:val="0"/>
        <w:numPr>
          <w:ilvl w:val="0"/>
          <w:numId w:val="1"/>
        </w:numPr>
        <w:tabs>
          <w:tab w:val="left" w:pos="0"/>
        </w:tabs>
        <w:suppressAutoHyphens/>
        <w:autoSpaceDE w:val="0"/>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Izvještaj o stanju obveza</w:t>
      </w:r>
    </w:p>
    <w:p w14:paraId="77742A39" w14:textId="77777777" w:rsidR="00B11EFC" w:rsidRPr="00B11EFC" w:rsidRDefault="00B11EFC" w:rsidP="00B11EFC">
      <w:pPr>
        <w:widowControl w:val="0"/>
        <w:numPr>
          <w:ilvl w:val="0"/>
          <w:numId w:val="1"/>
        </w:numPr>
        <w:tabs>
          <w:tab w:val="left" w:pos="0"/>
        </w:tabs>
        <w:suppressAutoHyphens/>
        <w:autoSpaceDE w:val="0"/>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Obrazloženje ostvarenja prihoda i primitaka, rashoda i izdataka</w:t>
      </w:r>
    </w:p>
    <w:p w14:paraId="3E84C711" w14:textId="77777777" w:rsidR="00B11EFC" w:rsidRPr="00B11EFC" w:rsidRDefault="00B11EFC" w:rsidP="00B11EFC">
      <w:pPr>
        <w:widowControl w:val="0"/>
        <w:suppressAutoHyphens/>
        <w:autoSpaceDE w:val="0"/>
        <w:spacing w:after="0" w:line="360" w:lineRule="auto"/>
        <w:ind w:left="360"/>
        <w:jc w:val="both"/>
        <w:rPr>
          <w:rFonts w:ascii="Times New Roman" w:eastAsia="SimSun" w:hAnsi="Times New Roman" w:cs="Times New Roman"/>
          <w:kern w:val="0"/>
          <w:lang w:eastAsia="hr-HR"/>
          <w14:ligatures w14:val="none"/>
        </w:rPr>
      </w:pPr>
    </w:p>
    <w:p w14:paraId="06D5A27C" w14:textId="77777777" w:rsidR="00B11EFC" w:rsidRPr="00B11EFC" w:rsidRDefault="00B11EFC" w:rsidP="00B11EFC">
      <w:pPr>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U skladu s navedenom zakonskom obvezom, sastavljen je Godišnji izvještaj o izvršenju Financijskog plana Dječjeg vrtića Ston za razdoblje siječanj-prosinac 2025. godine.</w:t>
      </w:r>
    </w:p>
    <w:p w14:paraId="4CC71137" w14:textId="4C0E750E" w:rsidR="00B11EFC" w:rsidRPr="00B11EFC" w:rsidRDefault="00B11EFC" w:rsidP="00B11EFC">
      <w:pPr>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 xml:space="preserve">Obrazloženje godišnjeg izvještaja o izvršenju Financijskog plana za razdoblje od 01. siječnja do 31. prosinca 2025. godine Dječjeg vrtića Ston sastoji se od obrazloženja Općeg dijela </w:t>
      </w:r>
      <w:r w:rsidRPr="00B11EFC">
        <w:rPr>
          <w:rFonts w:ascii="Times New Roman" w:eastAsia="SimSun" w:hAnsi="Times New Roman" w:cs="Times New Roman"/>
          <w:kern w:val="0"/>
          <w:lang w:eastAsia="hr-HR"/>
          <w14:ligatures w14:val="none"/>
        </w:rPr>
        <w:lastRenderedPageBreak/>
        <w:t>izvještaja o izvršenju Financijskog plana i obrazloženja Posebnog dijela izvještaja o izvršenju Financijskog plana.</w:t>
      </w:r>
    </w:p>
    <w:p w14:paraId="011C0959" w14:textId="5E1CB73A" w:rsidR="00B11EFC" w:rsidRPr="00B11EFC" w:rsidRDefault="00B11EFC" w:rsidP="00B11EFC">
      <w:pPr>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Dječji vrtić Ston proračunski je korisnik jedinice lokalne i područne (regionalne) samouprave Općine Ston.</w:t>
      </w:r>
    </w:p>
    <w:p w14:paraId="2B9F3961" w14:textId="77777777" w:rsidR="00B11EFC" w:rsidRPr="00B11EFC" w:rsidRDefault="00B11EFC" w:rsidP="00B11EFC">
      <w:pPr>
        <w:spacing w:after="0" w:line="240" w:lineRule="auto"/>
        <w:jc w:val="both"/>
        <w:rPr>
          <w:rFonts w:ascii="Times New Roman" w:eastAsia="SimSun" w:hAnsi="Times New Roman" w:cs="Times New Roman"/>
          <w:kern w:val="0"/>
          <w:lang w:eastAsia="hr-HR"/>
          <w14:ligatures w14:val="none"/>
        </w:rPr>
      </w:pPr>
    </w:p>
    <w:p w14:paraId="166911DD" w14:textId="77777777" w:rsidR="00B11EFC" w:rsidRPr="00B11EFC" w:rsidRDefault="00B11EFC" w:rsidP="00B11EFC">
      <w:pPr>
        <w:spacing w:after="0" w:line="240" w:lineRule="auto"/>
        <w:jc w:val="both"/>
        <w:rPr>
          <w:rFonts w:ascii="Times New Roman" w:eastAsia="SimSun" w:hAnsi="Times New Roman" w:cs="Times New Roman"/>
          <w:b/>
          <w:bCs/>
          <w:kern w:val="0"/>
          <w:lang w:eastAsia="hr-HR"/>
          <w14:ligatures w14:val="none"/>
        </w:rPr>
      </w:pPr>
      <w:r w:rsidRPr="00B11EFC">
        <w:rPr>
          <w:rFonts w:ascii="Times New Roman" w:eastAsia="SimSun" w:hAnsi="Times New Roman" w:cs="Times New Roman"/>
          <w:b/>
          <w:bCs/>
          <w:kern w:val="0"/>
          <w:lang w:eastAsia="hr-HR"/>
          <w14:ligatures w14:val="none"/>
        </w:rPr>
        <w:t>Primici od financijske imovine i zaduživanja</w:t>
      </w:r>
    </w:p>
    <w:p w14:paraId="57DEFF2C" w14:textId="77777777" w:rsidR="00B11EFC" w:rsidRPr="00B11EFC" w:rsidRDefault="00B11EFC" w:rsidP="00B11EFC">
      <w:pPr>
        <w:spacing w:after="0" w:line="240" w:lineRule="auto"/>
        <w:jc w:val="both"/>
        <w:rPr>
          <w:rFonts w:ascii="Times New Roman" w:eastAsia="SimSun" w:hAnsi="Times New Roman" w:cs="Times New Roman"/>
          <w:b/>
          <w:bCs/>
          <w:kern w:val="0"/>
          <w:lang w:eastAsia="hr-HR"/>
          <w14:ligatures w14:val="none"/>
        </w:rPr>
      </w:pPr>
    </w:p>
    <w:p w14:paraId="20F01FCD" w14:textId="77777777" w:rsidR="00B11EFC" w:rsidRPr="00B11EFC" w:rsidRDefault="00B11EFC" w:rsidP="00B11EFC">
      <w:pPr>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Dječji vrtić Ston  u promatranom razdoblju nije imao primitaka od financijske imovine i zaduživanja.</w:t>
      </w:r>
    </w:p>
    <w:p w14:paraId="356BD697" w14:textId="77777777" w:rsidR="00B11EFC" w:rsidRPr="00B11EFC" w:rsidRDefault="00B11EFC" w:rsidP="00B11EFC">
      <w:pPr>
        <w:spacing w:after="0" w:line="240" w:lineRule="auto"/>
        <w:jc w:val="both"/>
        <w:rPr>
          <w:rFonts w:ascii="Times New Roman" w:eastAsia="SimSun" w:hAnsi="Times New Roman" w:cs="Times New Roman"/>
          <w:b/>
          <w:bCs/>
          <w:kern w:val="0"/>
          <w:lang w:eastAsia="hr-HR"/>
          <w14:ligatures w14:val="none"/>
        </w:rPr>
      </w:pPr>
    </w:p>
    <w:p w14:paraId="05142C7C" w14:textId="77777777" w:rsidR="00B11EFC" w:rsidRPr="00B11EFC" w:rsidRDefault="00B11EFC" w:rsidP="00B11EFC">
      <w:pPr>
        <w:spacing w:after="0" w:line="240" w:lineRule="auto"/>
        <w:jc w:val="both"/>
        <w:rPr>
          <w:rFonts w:ascii="Times New Roman" w:eastAsia="SimSun" w:hAnsi="Times New Roman" w:cs="Times New Roman"/>
          <w:b/>
          <w:bCs/>
          <w:kern w:val="0"/>
          <w:lang w:eastAsia="hr-HR"/>
          <w14:ligatures w14:val="none"/>
        </w:rPr>
      </w:pPr>
      <w:r w:rsidRPr="00B11EFC">
        <w:rPr>
          <w:rFonts w:ascii="Times New Roman" w:eastAsia="SimSun" w:hAnsi="Times New Roman" w:cs="Times New Roman"/>
          <w:b/>
          <w:bCs/>
          <w:kern w:val="0"/>
          <w:lang w:eastAsia="hr-HR"/>
          <w14:ligatures w14:val="none"/>
        </w:rPr>
        <w:t>Izdaci za financijsku imovinu i otplatu zajmova</w:t>
      </w:r>
    </w:p>
    <w:p w14:paraId="71FB4B6A" w14:textId="77777777" w:rsidR="00B11EFC" w:rsidRPr="00B11EFC" w:rsidRDefault="00B11EFC" w:rsidP="00B11EFC">
      <w:pPr>
        <w:spacing w:after="0" w:line="240" w:lineRule="auto"/>
        <w:jc w:val="both"/>
        <w:rPr>
          <w:rFonts w:ascii="Times New Roman" w:eastAsia="SimSun" w:hAnsi="Times New Roman" w:cs="Times New Roman"/>
          <w:b/>
          <w:bCs/>
          <w:kern w:val="0"/>
          <w:lang w:eastAsia="hr-HR"/>
          <w14:ligatures w14:val="none"/>
        </w:rPr>
      </w:pPr>
    </w:p>
    <w:p w14:paraId="50890E74" w14:textId="77777777" w:rsidR="00B11EFC" w:rsidRPr="00B11EFC" w:rsidRDefault="00B11EFC" w:rsidP="00B11EFC">
      <w:pPr>
        <w:spacing w:after="0" w:line="360" w:lineRule="auto"/>
        <w:jc w:val="both"/>
        <w:rPr>
          <w:rFonts w:ascii="Times New Roman" w:eastAsia="SimSun" w:hAnsi="Times New Roman" w:cs="Times New Roman"/>
          <w:b/>
          <w:bCs/>
          <w:kern w:val="0"/>
          <w:lang w:eastAsia="hr-HR"/>
          <w14:ligatures w14:val="none"/>
        </w:rPr>
      </w:pPr>
      <w:r w:rsidRPr="00B11EFC">
        <w:rPr>
          <w:rFonts w:ascii="Times New Roman" w:eastAsia="SimSun" w:hAnsi="Times New Roman" w:cs="Times New Roman"/>
          <w:kern w:val="0"/>
          <w:lang w:eastAsia="hr-HR"/>
          <w14:ligatures w14:val="none"/>
        </w:rPr>
        <w:t>Dječji vrtić Ston u promatranom razdoblju nije imao izdataka za financijsku imovinu i otplatu zajmova.</w:t>
      </w:r>
    </w:p>
    <w:p w14:paraId="4F82D49D" w14:textId="77777777" w:rsidR="00B11EFC" w:rsidRPr="00B11EFC" w:rsidRDefault="00B11EFC" w:rsidP="00B11EFC">
      <w:pPr>
        <w:spacing w:after="0" w:line="240" w:lineRule="auto"/>
        <w:jc w:val="both"/>
        <w:rPr>
          <w:rFonts w:ascii="Times New Roman" w:eastAsia="SimSun" w:hAnsi="Times New Roman" w:cs="Times New Roman"/>
          <w:kern w:val="0"/>
          <w:highlight w:val="yellow"/>
          <w:lang w:eastAsia="hr-HR"/>
          <w14:ligatures w14:val="none"/>
        </w:rPr>
      </w:pPr>
    </w:p>
    <w:p w14:paraId="692363D3" w14:textId="77777777" w:rsidR="00B11EFC" w:rsidRPr="00B11EFC" w:rsidRDefault="00B11EFC" w:rsidP="00B11EFC">
      <w:pPr>
        <w:spacing w:after="0" w:line="360" w:lineRule="auto"/>
        <w:jc w:val="both"/>
        <w:rPr>
          <w:rFonts w:ascii="Times New Roman" w:eastAsia="SimSun" w:hAnsi="Times New Roman" w:cs="Times New Roman"/>
          <w:b/>
          <w:bCs/>
          <w:kern w:val="0"/>
          <w:lang w:eastAsia="hr-HR"/>
          <w14:ligatures w14:val="none"/>
        </w:rPr>
      </w:pPr>
      <w:r w:rsidRPr="00B11EFC">
        <w:rPr>
          <w:rFonts w:ascii="Times New Roman" w:eastAsia="SimSun" w:hAnsi="Times New Roman" w:cs="Times New Roman"/>
          <w:b/>
          <w:bCs/>
          <w:kern w:val="0"/>
          <w:lang w:eastAsia="hr-HR"/>
          <w14:ligatures w14:val="none"/>
        </w:rPr>
        <w:t>Izvještaj o danim zajmovima i potraživanjima po danim zajmovima</w:t>
      </w:r>
    </w:p>
    <w:p w14:paraId="1F5E5648" w14:textId="70288900" w:rsidR="00B11EFC" w:rsidRPr="00B11EFC" w:rsidRDefault="00B11EFC" w:rsidP="00B11EFC">
      <w:pPr>
        <w:spacing w:after="0" w:line="360" w:lineRule="auto"/>
        <w:jc w:val="both"/>
        <w:rPr>
          <w:rFonts w:ascii="Times New Roman" w:eastAsia="SimSun" w:hAnsi="Times New Roman" w:cs="Times New Roman"/>
          <w:kern w:val="0"/>
          <w:highlight w:val="yellow"/>
          <w:lang w:eastAsia="hr-HR"/>
          <w14:ligatures w14:val="none"/>
        </w:rPr>
      </w:pPr>
      <w:r w:rsidRPr="00B11EFC">
        <w:rPr>
          <w:rFonts w:ascii="Times New Roman" w:eastAsia="SimSun" w:hAnsi="Times New Roman" w:cs="Times New Roman"/>
          <w:kern w:val="0"/>
          <w:lang w:eastAsia="hr-HR"/>
          <w14:ligatures w14:val="none"/>
        </w:rPr>
        <w:t>Dječji vrtić Ston u promatranom razdoblju nije davao zajmove te nema ni potraživanja po danim zajmovima.</w:t>
      </w:r>
    </w:p>
    <w:p w14:paraId="0120D124" w14:textId="77777777" w:rsidR="00B11EFC" w:rsidRPr="00B11EFC" w:rsidRDefault="00B11EFC" w:rsidP="00B11EFC">
      <w:pPr>
        <w:spacing w:after="0" w:line="360" w:lineRule="auto"/>
        <w:jc w:val="both"/>
        <w:rPr>
          <w:rFonts w:ascii="Times New Roman" w:eastAsia="SimSun" w:hAnsi="Times New Roman" w:cs="Times New Roman"/>
          <w:b/>
          <w:bCs/>
          <w:kern w:val="0"/>
          <w:u w:val="single"/>
          <w:lang w:eastAsia="hr-HR"/>
          <w14:ligatures w14:val="none"/>
        </w:rPr>
      </w:pPr>
    </w:p>
    <w:p w14:paraId="63040268" w14:textId="77777777" w:rsidR="00B11EFC" w:rsidRPr="00B11EFC" w:rsidRDefault="00B11EFC" w:rsidP="00B11EFC">
      <w:pPr>
        <w:spacing w:after="0" w:line="240" w:lineRule="auto"/>
        <w:jc w:val="both"/>
        <w:rPr>
          <w:rFonts w:ascii="Times New Roman" w:eastAsia="SimSun" w:hAnsi="Times New Roman" w:cs="Times New Roman"/>
          <w:b/>
          <w:bCs/>
          <w:kern w:val="0"/>
          <w:u w:val="single"/>
          <w:lang w:eastAsia="hr-HR"/>
          <w14:ligatures w14:val="none"/>
        </w:rPr>
      </w:pPr>
      <w:r w:rsidRPr="00B11EFC">
        <w:rPr>
          <w:rFonts w:ascii="Times New Roman" w:eastAsia="SimSun" w:hAnsi="Times New Roman" w:cs="Times New Roman"/>
          <w:b/>
          <w:bCs/>
          <w:kern w:val="0"/>
          <w:lang w:eastAsia="hr-HR"/>
          <w14:ligatures w14:val="none"/>
        </w:rPr>
        <w:t>Izvještaj o obvezama</w:t>
      </w:r>
    </w:p>
    <w:p w14:paraId="2BDD2FB1" w14:textId="77777777" w:rsidR="00B11EFC" w:rsidRPr="00B11EFC" w:rsidRDefault="00B11EFC" w:rsidP="00B11EFC">
      <w:pPr>
        <w:spacing w:after="0" w:line="240" w:lineRule="auto"/>
        <w:jc w:val="both"/>
        <w:rPr>
          <w:rFonts w:ascii="Times New Roman" w:eastAsia="SimSun" w:hAnsi="Times New Roman" w:cs="Times New Roman"/>
          <w:b/>
          <w:bCs/>
          <w:kern w:val="0"/>
          <w:u w:val="single"/>
          <w:lang w:eastAsia="hr-HR"/>
          <w14:ligatures w14:val="none"/>
        </w:rPr>
      </w:pPr>
    </w:p>
    <w:p w14:paraId="5F7B6B6C" w14:textId="77777777" w:rsidR="00B11EFC" w:rsidRPr="00B11EFC" w:rsidRDefault="00B11EFC" w:rsidP="00B11EFC">
      <w:pPr>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Povećanje obveza u izvještajnom razdoblju iznosi 520.251,88 eura, a isto se sastoji od obveza za rashode poslovanja i obveza za nabavu nefinancijske imovine, te uvećano za početno stanje 01.01.2025. godine u iznosu od 25.085,66 eura čini ukupno 545.337,54 eura obveza.</w:t>
      </w:r>
    </w:p>
    <w:p w14:paraId="1CD4EB13" w14:textId="77777777" w:rsidR="00B11EFC" w:rsidRPr="00B11EFC" w:rsidRDefault="00B11EFC" w:rsidP="00B11EFC">
      <w:pPr>
        <w:spacing w:after="0" w:line="360" w:lineRule="auto"/>
        <w:jc w:val="both"/>
        <w:rPr>
          <w:rFonts w:ascii="Times New Roman" w:eastAsia="SimSun" w:hAnsi="Times New Roman" w:cs="Times New Roman"/>
          <w:b/>
          <w:bCs/>
          <w:kern w:val="0"/>
          <w:u w:val="single"/>
          <w:lang w:eastAsia="hr-HR"/>
          <w14:ligatures w14:val="none"/>
        </w:rPr>
      </w:pPr>
      <w:r w:rsidRPr="00B11EFC">
        <w:rPr>
          <w:rFonts w:ascii="Times New Roman" w:eastAsia="SimSun" w:hAnsi="Times New Roman" w:cs="Times New Roman"/>
          <w:kern w:val="0"/>
          <w:lang w:eastAsia="hr-HR"/>
          <w14:ligatures w14:val="none"/>
        </w:rPr>
        <w:t>U izvještajnom razdoblju podmirene su obveze u ukupnom iznosu od 499.119,33 eura te na kraju izvještajnog razdoblja tj. sa 31.12.2025. godine stanje obveza iznosi 46.218,21 eura. Dospjele obveze na kraju izvještajnog razdoblja iznose 1.669,78 eura, dok iznos nedospjelih obveza iznosi 44.548,43 eura.</w:t>
      </w:r>
    </w:p>
    <w:p w14:paraId="2F4AED67" w14:textId="77777777" w:rsidR="00B11EFC" w:rsidRPr="00B11EFC" w:rsidRDefault="00B11EFC" w:rsidP="00B11EFC">
      <w:pPr>
        <w:spacing w:after="0" w:line="240" w:lineRule="auto"/>
        <w:jc w:val="both"/>
        <w:rPr>
          <w:rFonts w:ascii="Times New Roman" w:eastAsia="SimSun" w:hAnsi="Times New Roman" w:cs="Times New Roman"/>
          <w:b/>
          <w:bCs/>
          <w:kern w:val="0"/>
          <w:u w:val="single"/>
          <w:lang w:eastAsia="hr-HR"/>
          <w14:ligatures w14:val="none"/>
        </w:rPr>
      </w:pPr>
    </w:p>
    <w:p w14:paraId="6882566B" w14:textId="77777777" w:rsidR="00B11EFC" w:rsidRPr="00B11EFC" w:rsidRDefault="00B11EFC" w:rsidP="00B11EFC">
      <w:pPr>
        <w:spacing w:after="0" w:line="240" w:lineRule="auto"/>
        <w:jc w:val="both"/>
        <w:rPr>
          <w:rFonts w:ascii="Times New Roman" w:eastAsia="SimSun" w:hAnsi="Times New Roman" w:cs="Times New Roman"/>
          <w:b/>
          <w:bCs/>
          <w:kern w:val="0"/>
          <w:lang w:eastAsia="hr-HR"/>
          <w14:ligatures w14:val="none"/>
        </w:rPr>
      </w:pPr>
      <w:r w:rsidRPr="00B11EFC">
        <w:rPr>
          <w:rFonts w:ascii="Times New Roman" w:eastAsia="SimSun" w:hAnsi="Times New Roman" w:cs="Times New Roman"/>
          <w:b/>
          <w:bCs/>
          <w:kern w:val="0"/>
          <w:lang w:eastAsia="hr-HR"/>
          <w14:ligatures w14:val="none"/>
        </w:rPr>
        <w:t>Obrazloženje ostvarenja prihoda i primitaka, rashoda i izdataka</w:t>
      </w:r>
    </w:p>
    <w:p w14:paraId="6B3A2414" w14:textId="77777777" w:rsidR="00B11EFC" w:rsidRPr="00B11EFC" w:rsidRDefault="00B11EFC" w:rsidP="00B11EFC">
      <w:pPr>
        <w:spacing w:after="0" w:line="240" w:lineRule="auto"/>
        <w:jc w:val="both"/>
        <w:rPr>
          <w:rFonts w:ascii="Times New Roman" w:eastAsia="SimSun" w:hAnsi="Times New Roman" w:cs="Times New Roman"/>
          <w:kern w:val="0"/>
          <w:highlight w:val="yellow"/>
          <w:lang w:eastAsia="hr-HR"/>
          <w14:ligatures w14:val="none"/>
        </w:rPr>
      </w:pPr>
    </w:p>
    <w:p w14:paraId="308711F8" w14:textId="77777777" w:rsidR="00B11EFC" w:rsidRPr="00B11EFC" w:rsidRDefault="00B11EFC" w:rsidP="00B11EFC">
      <w:pPr>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Godišnji izvještaj za razdoblje siječanj-prosinac 2025. godine iskazan je sukladno članku 4. Pravilnika o polugodišnjem i godišnjem izvještaju o izvršenju proračuna i financijskog plana ("Narodne novine“ broj 85/23) te prema Financijskom planu za 2025. godinu kojeg je donijelo Upravno vijeće Dječjeg vrtića Ston, a Općinsko vijeće Općine Ston usvojilo u svojem Planu Proračuna za 2025. godinu.</w:t>
      </w:r>
    </w:p>
    <w:p w14:paraId="4786F1E6" w14:textId="77777777" w:rsidR="00B11EFC" w:rsidRDefault="00B11EFC" w:rsidP="00B11EFC">
      <w:pPr>
        <w:spacing w:after="0" w:line="240" w:lineRule="auto"/>
        <w:jc w:val="center"/>
        <w:rPr>
          <w:rFonts w:ascii="Times New Roman" w:eastAsia="SimSun" w:hAnsi="Times New Roman" w:cs="Times New Roman"/>
          <w:b/>
          <w:bCs/>
          <w:kern w:val="0"/>
          <w:lang w:eastAsia="hr-HR"/>
          <w14:ligatures w14:val="none"/>
        </w:rPr>
      </w:pPr>
    </w:p>
    <w:p w14:paraId="1A6ECC24" w14:textId="77777777" w:rsidR="00B11EFC" w:rsidRDefault="00B11EFC" w:rsidP="00B11EFC">
      <w:pPr>
        <w:spacing w:after="0" w:line="240" w:lineRule="auto"/>
        <w:jc w:val="center"/>
        <w:rPr>
          <w:rFonts w:ascii="Times New Roman" w:eastAsia="SimSun" w:hAnsi="Times New Roman" w:cs="Times New Roman"/>
          <w:b/>
          <w:bCs/>
          <w:kern w:val="0"/>
          <w:lang w:eastAsia="hr-HR"/>
          <w14:ligatures w14:val="none"/>
        </w:rPr>
      </w:pPr>
    </w:p>
    <w:p w14:paraId="48C936ED" w14:textId="1EFAE6A3" w:rsidR="00B11EFC" w:rsidRPr="00B11EFC" w:rsidRDefault="00B11EFC" w:rsidP="00B11EFC">
      <w:pPr>
        <w:spacing w:after="0" w:line="240" w:lineRule="auto"/>
        <w:jc w:val="center"/>
        <w:rPr>
          <w:rFonts w:ascii="Times New Roman" w:eastAsia="SimSun" w:hAnsi="Times New Roman" w:cs="Times New Roman"/>
          <w:b/>
          <w:bCs/>
          <w:kern w:val="0"/>
          <w:sz w:val="22"/>
          <w:szCs w:val="22"/>
          <w:lang w:eastAsia="hr-HR"/>
          <w14:ligatures w14:val="none"/>
        </w:rPr>
      </w:pPr>
      <w:r w:rsidRPr="00B11EFC">
        <w:rPr>
          <w:rFonts w:ascii="Times New Roman" w:eastAsia="SimSun" w:hAnsi="Times New Roman" w:cs="Times New Roman"/>
          <w:b/>
          <w:bCs/>
          <w:kern w:val="0"/>
          <w:lang w:eastAsia="hr-HR"/>
          <w14:ligatures w14:val="none"/>
        </w:rPr>
        <w:lastRenderedPageBreak/>
        <w:t>OBRAZLOŽENJE OPĆEG DIJELA IZVJEŠTAJA O IZVRŠENJU PRORAČUNA</w:t>
      </w:r>
    </w:p>
    <w:p w14:paraId="6A4D0826" w14:textId="77777777" w:rsidR="00B11EFC" w:rsidRPr="00B11EFC" w:rsidRDefault="00B11EFC" w:rsidP="00B11EFC">
      <w:pPr>
        <w:spacing w:after="0" w:line="240" w:lineRule="auto"/>
        <w:rPr>
          <w:rFonts w:ascii="Times New Roman" w:eastAsia="SimSun" w:hAnsi="Times New Roman" w:cs="Times New Roman"/>
          <w:kern w:val="0"/>
          <w:lang w:eastAsia="hr-HR"/>
          <w14:ligatures w14:val="none"/>
        </w:rPr>
      </w:pPr>
    </w:p>
    <w:p w14:paraId="283E82C8" w14:textId="77777777" w:rsidR="00B11EFC" w:rsidRPr="00B11EFC" w:rsidRDefault="00B11EFC" w:rsidP="00B11EFC">
      <w:pPr>
        <w:spacing w:after="0" w:line="240" w:lineRule="auto"/>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 xml:space="preserve">U razdoblju od 01.01.- 31.12.2025. godine realizirano je: </w:t>
      </w:r>
    </w:p>
    <w:p w14:paraId="012BF87E" w14:textId="77777777" w:rsidR="00B11EFC" w:rsidRPr="00B11EFC" w:rsidRDefault="00B11EFC" w:rsidP="00B11EFC">
      <w:pPr>
        <w:spacing w:after="0" w:line="240" w:lineRule="auto"/>
        <w:rPr>
          <w:rFonts w:ascii="Times New Roman" w:eastAsia="SimSun" w:hAnsi="Times New Roman" w:cs="Times New Roman"/>
          <w:kern w:val="0"/>
          <w:lang w:eastAsia="hr-HR"/>
          <w14:ligatures w14:val="none"/>
        </w:rPr>
      </w:pPr>
    </w:p>
    <w:tbl>
      <w:tblPr>
        <w:tblW w:w="9740" w:type="dxa"/>
        <w:jc w:val="center"/>
        <w:tblLook w:val="0000" w:firstRow="0" w:lastRow="0" w:firstColumn="0" w:lastColumn="0" w:noHBand="0" w:noVBand="0"/>
      </w:tblPr>
      <w:tblGrid>
        <w:gridCol w:w="3104"/>
        <w:gridCol w:w="2278"/>
        <w:gridCol w:w="2090"/>
        <w:gridCol w:w="2268"/>
      </w:tblGrid>
      <w:tr w:rsidR="00B11EFC" w:rsidRPr="00B11EFC" w14:paraId="263380C7" w14:textId="77777777" w:rsidTr="006041C0">
        <w:trPr>
          <w:trHeight w:val="328"/>
          <w:jc w:val="center"/>
        </w:trPr>
        <w:tc>
          <w:tcPr>
            <w:tcW w:w="3104" w:type="dxa"/>
            <w:tcBorders>
              <w:top w:val="single" w:sz="4" w:space="0" w:color="auto"/>
              <w:left w:val="single" w:sz="4" w:space="0" w:color="auto"/>
              <w:bottom w:val="single" w:sz="4" w:space="0" w:color="auto"/>
              <w:right w:val="single" w:sz="4" w:space="0" w:color="auto"/>
            </w:tcBorders>
            <w:shd w:val="clear" w:color="auto" w:fill="E7E6E6"/>
            <w:vAlign w:val="center"/>
          </w:tcPr>
          <w:p w14:paraId="0EE8B858" w14:textId="77777777" w:rsidR="00B11EFC" w:rsidRPr="00B11EFC" w:rsidRDefault="00B11EFC" w:rsidP="00B11EFC">
            <w:pPr>
              <w:spacing w:after="0" w:line="240" w:lineRule="auto"/>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 </w:t>
            </w:r>
          </w:p>
        </w:tc>
        <w:tc>
          <w:tcPr>
            <w:tcW w:w="2278" w:type="dxa"/>
            <w:tcBorders>
              <w:top w:val="single" w:sz="4" w:space="0" w:color="auto"/>
              <w:left w:val="nil"/>
              <w:bottom w:val="single" w:sz="4" w:space="0" w:color="auto"/>
              <w:right w:val="single" w:sz="4" w:space="0" w:color="auto"/>
            </w:tcBorders>
            <w:shd w:val="clear" w:color="auto" w:fill="E7E6E6"/>
            <w:vAlign w:val="center"/>
          </w:tcPr>
          <w:p w14:paraId="10F4AEC9" w14:textId="77777777" w:rsidR="00B11EFC" w:rsidRPr="00B11EFC" w:rsidRDefault="00B11EFC" w:rsidP="00B11EFC">
            <w:pPr>
              <w:spacing w:after="0" w:line="240" w:lineRule="auto"/>
              <w:jc w:val="center"/>
              <w:rPr>
                <w:rFonts w:ascii="Times New Roman" w:eastAsia="Times New Roman" w:hAnsi="Times New Roman" w:cs="Times New Roman"/>
                <w:b/>
                <w:bCs/>
                <w:iCs/>
                <w:kern w:val="0"/>
                <w:lang w:eastAsia="hr-HR"/>
                <w14:ligatures w14:val="none"/>
              </w:rPr>
            </w:pPr>
            <w:r w:rsidRPr="00B11EFC">
              <w:rPr>
                <w:rFonts w:ascii="Times New Roman" w:eastAsia="Times New Roman" w:hAnsi="Times New Roman" w:cs="Times New Roman"/>
                <w:b/>
                <w:bCs/>
                <w:iCs/>
                <w:kern w:val="0"/>
                <w:lang w:eastAsia="hr-HR"/>
                <w14:ligatures w14:val="none"/>
              </w:rPr>
              <w:t>IZVRŠENJE 2024.</w:t>
            </w:r>
          </w:p>
        </w:tc>
        <w:tc>
          <w:tcPr>
            <w:tcW w:w="2090" w:type="dxa"/>
            <w:tcBorders>
              <w:top w:val="single" w:sz="4" w:space="0" w:color="auto"/>
              <w:left w:val="nil"/>
              <w:bottom w:val="single" w:sz="4" w:space="0" w:color="auto"/>
              <w:right w:val="single" w:sz="4" w:space="0" w:color="auto"/>
            </w:tcBorders>
            <w:shd w:val="clear" w:color="auto" w:fill="E7E6E6"/>
            <w:vAlign w:val="center"/>
          </w:tcPr>
          <w:p w14:paraId="15E21772" w14:textId="77777777" w:rsidR="00B11EFC" w:rsidRPr="00B11EFC" w:rsidRDefault="00B11EFC" w:rsidP="00B11EFC">
            <w:pPr>
              <w:spacing w:after="0" w:line="240" w:lineRule="auto"/>
              <w:jc w:val="center"/>
              <w:rPr>
                <w:rFonts w:ascii="Times New Roman" w:eastAsia="Times New Roman" w:hAnsi="Times New Roman" w:cs="Times New Roman"/>
                <w:b/>
                <w:bCs/>
                <w:iCs/>
                <w:kern w:val="0"/>
                <w:lang w:eastAsia="hr-HR"/>
                <w14:ligatures w14:val="none"/>
              </w:rPr>
            </w:pPr>
            <w:r w:rsidRPr="00B11EFC">
              <w:rPr>
                <w:rFonts w:ascii="Times New Roman" w:eastAsia="Times New Roman" w:hAnsi="Times New Roman" w:cs="Times New Roman"/>
                <w:b/>
                <w:bCs/>
                <w:iCs/>
                <w:kern w:val="0"/>
                <w:lang w:eastAsia="hr-HR"/>
                <w14:ligatures w14:val="none"/>
              </w:rPr>
              <w:t>PLAN 2025.</w:t>
            </w:r>
          </w:p>
        </w:tc>
        <w:tc>
          <w:tcPr>
            <w:tcW w:w="2268" w:type="dxa"/>
            <w:tcBorders>
              <w:top w:val="single" w:sz="4" w:space="0" w:color="auto"/>
              <w:left w:val="nil"/>
              <w:bottom w:val="single" w:sz="4" w:space="0" w:color="auto"/>
              <w:right w:val="single" w:sz="4" w:space="0" w:color="auto"/>
            </w:tcBorders>
            <w:shd w:val="clear" w:color="auto" w:fill="E7E6E6"/>
            <w:vAlign w:val="center"/>
          </w:tcPr>
          <w:p w14:paraId="1DAA3803" w14:textId="77777777" w:rsidR="00B11EFC" w:rsidRPr="00B11EFC" w:rsidRDefault="00B11EFC" w:rsidP="00B11EFC">
            <w:pPr>
              <w:spacing w:after="0" w:line="240" w:lineRule="auto"/>
              <w:jc w:val="center"/>
              <w:rPr>
                <w:rFonts w:ascii="Times New Roman" w:eastAsia="Times New Roman" w:hAnsi="Times New Roman" w:cs="Times New Roman"/>
                <w:b/>
                <w:bCs/>
                <w:iCs/>
                <w:kern w:val="0"/>
                <w:lang w:eastAsia="hr-HR"/>
                <w14:ligatures w14:val="none"/>
              </w:rPr>
            </w:pPr>
            <w:r w:rsidRPr="00B11EFC">
              <w:rPr>
                <w:rFonts w:ascii="Times New Roman" w:eastAsia="Times New Roman" w:hAnsi="Times New Roman" w:cs="Times New Roman"/>
                <w:b/>
                <w:bCs/>
                <w:iCs/>
                <w:kern w:val="0"/>
                <w:lang w:eastAsia="hr-HR"/>
                <w14:ligatures w14:val="none"/>
              </w:rPr>
              <w:t>IZVRŠENJE 2025.</w:t>
            </w:r>
          </w:p>
        </w:tc>
      </w:tr>
      <w:tr w:rsidR="00B11EFC" w:rsidRPr="00B11EFC" w14:paraId="02C62419" w14:textId="77777777" w:rsidTr="00B11EFC">
        <w:trPr>
          <w:trHeight w:val="20"/>
          <w:jc w:val="center"/>
        </w:trPr>
        <w:tc>
          <w:tcPr>
            <w:tcW w:w="3104" w:type="dxa"/>
            <w:tcBorders>
              <w:top w:val="nil"/>
              <w:left w:val="single" w:sz="4" w:space="0" w:color="auto"/>
              <w:bottom w:val="single" w:sz="4" w:space="0" w:color="auto"/>
              <w:right w:val="single" w:sz="4" w:space="0" w:color="auto"/>
            </w:tcBorders>
            <w:vAlign w:val="center"/>
          </w:tcPr>
          <w:p w14:paraId="20E01E89" w14:textId="77777777" w:rsidR="00B11EFC" w:rsidRPr="00B11EFC" w:rsidRDefault="00B11EFC" w:rsidP="00B11EFC">
            <w:pPr>
              <w:spacing w:after="0" w:line="240" w:lineRule="auto"/>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UKUPNI PRIHODI / PRIMICI</w:t>
            </w:r>
          </w:p>
        </w:tc>
        <w:tc>
          <w:tcPr>
            <w:tcW w:w="2278" w:type="dxa"/>
            <w:tcBorders>
              <w:top w:val="nil"/>
              <w:left w:val="nil"/>
              <w:bottom w:val="single" w:sz="4" w:space="0" w:color="auto"/>
              <w:right w:val="single" w:sz="4" w:space="0" w:color="auto"/>
            </w:tcBorders>
            <w:noWrap/>
            <w:vAlign w:val="center"/>
          </w:tcPr>
          <w:p w14:paraId="51002D7F"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388.850,51</w:t>
            </w:r>
          </w:p>
        </w:tc>
        <w:tc>
          <w:tcPr>
            <w:tcW w:w="2090" w:type="dxa"/>
            <w:tcBorders>
              <w:top w:val="nil"/>
              <w:left w:val="nil"/>
              <w:bottom w:val="single" w:sz="4" w:space="0" w:color="auto"/>
              <w:right w:val="single" w:sz="4" w:space="0" w:color="auto"/>
            </w:tcBorders>
            <w:noWrap/>
            <w:vAlign w:val="center"/>
          </w:tcPr>
          <w:p w14:paraId="0EDE3A6B" w14:textId="77777777" w:rsidR="00B11EFC" w:rsidRPr="00B11EFC" w:rsidRDefault="00B11EFC" w:rsidP="00B11EFC">
            <w:pPr>
              <w:spacing w:after="0" w:line="240" w:lineRule="auto"/>
              <w:jc w:val="right"/>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509.680,00</w:t>
            </w:r>
          </w:p>
        </w:tc>
        <w:tc>
          <w:tcPr>
            <w:tcW w:w="2268" w:type="dxa"/>
            <w:tcBorders>
              <w:top w:val="nil"/>
              <w:left w:val="nil"/>
              <w:bottom w:val="single" w:sz="4" w:space="0" w:color="auto"/>
              <w:right w:val="single" w:sz="4" w:space="0" w:color="auto"/>
            </w:tcBorders>
            <w:noWrap/>
            <w:vAlign w:val="center"/>
          </w:tcPr>
          <w:p w14:paraId="7E73CB6C"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eastAsia="hr-HR"/>
                <w14:ligatures w14:val="none"/>
              </w:rPr>
            </w:pPr>
          </w:p>
          <w:p w14:paraId="3B4FE30C"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535.738,67</w:t>
            </w:r>
          </w:p>
        </w:tc>
      </w:tr>
      <w:tr w:rsidR="00B11EFC" w:rsidRPr="00B11EFC" w14:paraId="367655B5" w14:textId="77777777" w:rsidTr="00B11EFC">
        <w:trPr>
          <w:trHeight w:val="20"/>
          <w:jc w:val="center"/>
        </w:trPr>
        <w:tc>
          <w:tcPr>
            <w:tcW w:w="3104" w:type="dxa"/>
            <w:tcBorders>
              <w:top w:val="nil"/>
              <w:left w:val="single" w:sz="4" w:space="0" w:color="auto"/>
              <w:bottom w:val="single" w:sz="4" w:space="0" w:color="auto"/>
              <w:right w:val="single" w:sz="4" w:space="0" w:color="auto"/>
            </w:tcBorders>
            <w:vAlign w:val="center"/>
          </w:tcPr>
          <w:p w14:paraId="0663734E" w14:textId="77777777" w:rsidR="00B11EFC" w:rsidRPr="00B11EFC" w:rsidRDefault="00B11EFC" w:rsidP="00B11EFC">
            <w:pPr>
              <w:spacing w:after="0" w:line="240" w:lineRule="auto"/>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UKUPNI RASHODI / IZDACI</w:t>
            </w:r>
          </w:p>
        </w:tc>
        <w:tc>
          <w:tcPr>
            <w:tcW w:w="2278" w:type="dxa"/>
            <w:tcBorders>
              <w:top w:val="nil"/>
              <w:left w:val="nil"/>
              <w:bottom w:val="single" w:sz="4" w:space="0" w:color="auto"/>
              <w:right w:val="single" w:sz="4" w:space="0" w:color="auto"/>
            </w:tcBorders>
            <w:noWrap/>
            <w:vAlign w:val="center"/>
          </w:tcPr>
          <w:p w14:paraId="304B2EDD"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val="en-US" w:eastAsia="zh-CN" w:bidi="ar"/>
                <w14:ligatures w14:val="none"/>
              </w:rPr>
            </w:pPr>
          </w:p>
          <w:p w14:paraId="4F518F3E"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402.783,28</w:t>
            </w:r>
          </w:p>
          <w:p w14:paraId="06F12C9C"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eastAsia="hr-HR"/>
                <w14:ligatures w14:val="none"/>
              </w:rPr>
            </w:pPr>
          </w:p>
        </w:tc>
        <w:tc>
          <w:tcPr>
            <w:tcW w:w="2090" w:type="dxa"/>
            <w:tcBorders>
              <w:top w:val="nil"/>
              <w:left w:val="nil"/>
              <w:bottom w:val="single" w:sz="4" w:space="0" w:color="auto"/>
              <w:right w:val="single" w:sz="4" w:space="0" w:color="auto"/>
            </w:tcBorders>
            <w:noWrap/>
            <w:vAlign w:val="center"/>
          </w:tcPr>
          <w:p w14:paraId="6D4907D4" w14:textId="77777777" w:rsidR="00B11EFC" w:rsidRPr="00B11EFC" w:rsidRDefault="00B11EFC" w:rsidP="00B11EFC">
            <w:pPr>
              <w:spacing w:after="0" w:line="240" w:lineRule="auto"/>
              <w:jc w:val="right"/>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509.580,00</w:t>
            </w:r>
          </w:p>
        </w:tc>
        <w:tc>
          <w:tcPr>
            <w:tcW w:w="2268" w:type="dxa"/>
            <w:tcBorders>
              <w:top w:val="nil"/>
              <w:left w:val="nil"/>
              <w:bottom w:val="single" w:sz="4" w:space="0" w:color="auto"/>
              <w:right w:val="single" w:sz="4" w:space="0" w:color="auto"/>
            </w:tcBorders>
            <w:noWrap/>
            <w:vAlign w:val="center"/>
          </w:tcPr>
          <w:p w14:paraId="25BE41D5"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val="en-US" w:eastAsia="hr-HR"/>
                <w14:ligatures w14:val="none"/>
              </w:rPr>
            </w:pPr>
          </w:p>
          <w:p w14:paraId="0EF05EED"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504.620,53</w:t>
            </w:r>
          </w:p>
        </w:tc>
      </w:tr>
      <w:tr w:rsidR="00B11EFC" w:rsidRPr="00B11EFC" w14:paraId="6B141C57" w14:textId="77777777" w:rsidTr="00B11EFC">
        <w:trPr>
          <w:trHeight w:val="124"/>
          <w:jc w:val="center"/>
        </w:trPr>
        <w:tc>
          <w:tcPr>
            <w:tcW w:w="3104" w:type="dxa"/>
            <w:tcBorders>
              <w:top w:val="nil"/>
              <w:left w:val="single" w:sz="4" w:space="0" w:color="auto"/>
              <w:bottom w:val="single" w:sz="4" w:space="0" w:color="auto"/>
              <w:right w:val="single" w:sz="4" w:space="0" w:color="auto"/>
            </w:tcBorders>
            <w:vAlign w:val="center"/>
          </w:tcPr>
          <w:p w14:paraId="74C2CFA7" w14:textId="77777777" w:rsidR="00B11EFC" w:rsidRPr="00B11EFC" w:rsidRDefault="00B11EFC" w:rsidP="00B11EFC">
            <w:pPr>
              <w:spacing w:after="0" w:line="240" w:lineRule="auto"/>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VIŠAK / MANJAK</w:t>
            </w:r>
          </w:p>
        </w:tc>
        <w:tc>
          <w:tcPr>
            <w:tcW w:w="2278" w:type="dxa"/>
            <w:tcBorders>
              <w:top w:val="nil"/>
              <w:left w:val="nil"/>
              <w:bottom w:val="single" w:sz="4" w:space="0" w:color="auto"/>
              <w:right w:val="single" w:sz="4" w:space="0" w:color="auto"/>
            </w:tcBorders>
            <w:noWrap/>
            <w:vAlign w:val="center"/>
          </w:tcPr>
          <w:p w14:paraId="70A51DC5"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eastAsia="zh-CN" w:bidi="ar"/>
                <w14:ligatures w14:val="none"/>
              </w:rPr>
            </w:pPr>
          </w:p>
          <w:p w14:paraId="0974022F"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zh-CN" w:bidi="ar"/>
                <w14:ligatures w14:val="none"/>
              </w:rPr>
              <w:t>-13.932,77</w:t>
            </w:r>
          </w:p>
          <w:p w14:paraId="4284830A"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eastAsia="hr-HR"/>
                <w14:ligatures w14:val="none"/>
              </w:rPr>
            </w:pPr>
          </w:p>
        </w:tc>
        <w:tc>
          <w:tcPr>
            <w:tcW w:w="2090" w:type="dxa"/>
            <w:tcBorders>
              <w:top w:val="nil"/>
              <w:left w:val="nil"/>
              <w:bottom w:val="single" w:sz="4" w:space="0" w:color="auto"/>
              <w:right w:val="single" w:sz="4" w:space="0" w:color="auto"/>
            </w:tcBorders>
            <w:noWrap/>
            <w:vAlign w:val="center"/>
          </w:tcPr>
          <w:p w14:paraId="70A3F8C9" w14:textId="77777777" w:rsidR="00B11EFC" w:rsidRPr="00B11EFC" w:rsidRDefault="00B11EFC" w:rsidP="00B11EFC">
            <w:pPr>
              <w:spacing w:after="0" w:line="240" w:lineRule="auto"/>
              <w:jc w:val="right"/>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0,00</w:t>
            </w:r>
          </w:p>
        </w:tc>
        <w:tc>
          <w:tcPr>
            <w:tcW w:w="2268" w:type="dxa"/>
            <w:tcBorders>
              <w:top w:val="nil"/>
              <w:left w:val="nil"/>
              <w:bottom w:val="single" w:sz="4" w:space="0" w:color="auto"/>
              <w:right w:val="single" w:sz="4" w:space="0" w:color="auto"/>
            </w:tcBorders>
            <w:noWrap/>
            <w:vAlign w:val="center"/>
          </w:tcPr>
          <w:p w14:paraId="5D8C3546"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val="en-US" w:eastAsia="hr-HR"/>
                <w14:ligatures w14:val="none"/>
              </w:rPr>
            </w:pPr>
          </w:p>
          <w:p w14:paraId="66E49AD0"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31.118,14</w:t>
            </w:r>
          </w:p>
        </w:tc>
      </w:tr>
      <w:tr w:rsidR="00B11EFC" w:rsidRPr="00B11EFC" w14:paraId="4888D198" w14:textId="77777777" w:rsidTr="00B11EFC">
        <w:trPr>
          <w:trHeight w:val="561"/>
          <w:jc w:val="center"/>
        </w:trPr>
        <w:tc>
          <w:tcPr>
            <w:tcW w:w="3104" w:type="dxa"/>
            <w:tcBorders>
              <w:top w:val="nil"/>
              <w:left w:val="single" w:sz="4" w:space="0" w:color="auto"/>
              <w:bottom w:val="single" w:sz="4" w:space="0" w:color="auto"/>
              <w:right w:val="single" w:sz="4" w:space="0" w:color="auto"/>
            </w:tcBorders>
            <w:vAlign w:val="center"/>
          </w:tcPr>
          <w:p w14:paraId="7D901C54" w14:textId="77777777" w:rsidR="00B11EFC" w:rsidRPr="00B11EFC" w:rsidRDefault="00B11EFC" w:rsidP="00B11EFC">
            <w:pPr>
              <w:spacing w:after="0" w:line="240" w:lineRule="auto"/>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PRENESENI VIŠAK/MANJAK</w:t>
            </w:r>
          </w:p>
        </w:tc>
        <w:tc>
          <w:tcPr>
            <w:tcW w:w="2278" w:type="dxa"/>
            <w:tcBorders>
              <w:top w:val="nil"/>
              <w:left w:val="nil"/>
              <w:bottom w:val="single" w:sz="4" w:space="0" w:color="auto"/>
              <w:right w:val="single" w:sz="4" w:space="0" w:color="auto"/>
            </w:tcBorders>
            <w:noWrap/>
            <w:vAlign w:val="center"/>
          </w:tcPr>
          <w:p w14:paraId="1C9BC3EB"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eastAsia="hr-HR"/>
                <w14:ligatures w14:val="none"/>
              </w:rPr>
            </w:pPr>
          </w:p>
          <w:p w14:paraId="1EB7DC86"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zh-CN" w:bidi="ar"/>
                <w14:ligatures w14:val="none"/>
              </w:rPr>
              <w:t>-22.757,33</w:t>
            </w:r>
          </w:p>
        </w:tc>
        <w:tc>
          <w:tcPr>
            <w:tcW w:w="2090" w:type="dxa"/>
            <w:tcBorders>
              <w:top w:val="nil"/>
              <w:left w:val="nil"/>
              <w:bottom w:val="single" w:sz="4" w:space="0" w:color="auto"/>
              <w:right w:val="single" w:sz="4" w:space="0" w:color="auto"/>
            </w:tcBorders>
            <w:noWrap/>
            <w:vAlign w:val="center"/>
          </w:tcPr>
          <w:p w14:paraId="0E93C578" w14:textId="77777777" w:rsidR="00B11EFC" w:rsidRPr="00B11EFC" w:rsidRDefault="00B11EFC" w:rsidP="00B11EFC">
            <w:pPr>
              <w:spacing w:after="0" w:line="240" w:lineRule="auto"/>
              <w:jc w:val="right"/>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0,00</w:t>
            </w:r>
          </w:p>
        </w:tc>
        <w:tc>
          <w:tcPr>
            <w:tcW w:w="2268" w:type="dxa"/>
            <w:tcBorders>
              <w:top w:val="nil"/>
              <w:left w:val="nil"/>
              <w:bottom w:val="single" w:sz="4" w:space="0" w:color="auto"/>
              <w:right w:val="single" w:sz="4" w:space="0" w:color="auto"/>
            </w:tcBorders>
            <w:noWrap/>
            <w:vAlign w:val="center"/>
          </w:tcPr>
          <w:p w14:paraId="560B3654"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val="en-US" w:eastAsia="hr-HR"/>
                <w14:ligatures w14:val="none"/>
              </w:rPr>
            </w:pPr>
          </w:p>
          <w:p w14:paraId="07301507"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val="en-US" w:eastAsia="hr-HR"/>
                <w14:ligatures w14:val="none"/>
              </w:rPr>
            </w:pPr>
          </w:p>
          <w:p w14:paraId="5AA35F38" w14:textId="77777777" w:rsidR="00B11EFC" w:rsidRPr="00B11EFC" w:rsidRDefault="00B11EFC" w:rsidP="00B11EFC">
            <w:pPr>
              <w:spacing w:after="0" w:line="240" w:lineRule="auto"/>
              <w:jc w:val="right"/>
              <w:textAlignment w:val="top"/>
              <w:rPr>
                <w:rFonts w:ascii="Times New Roman" w:eastAsia="SimSun" w:hAnsi="Times New Roman" w:cs="Times New Roman"/>
                <w:kern w:val="0"/>
                <w:lang w:val="en-US" w:eastAsia="hr-HR"/>
                <w14:ligatures w14:val="none"/>
              </w:rPr>
            </w:pPr>
            <w:r w:rsidRPr="00B11EFC">
              <w:rPr>
                <w:rFonts w:ascii="Times New Roman" w:eastAsia="SimSun" w:hAnsi="Times New Roman" w:cs="Times New Roman"/>
                <w:kern w:val="0"/>
                <w:lang w:eastAsia="hr-HR"/>
                <w14:ligatures w14:val="none"/>
              </w:rPr>
              <w:t xml:space="preserve">                -36.690,14</w:t>
            </w:r>
          </w:p>
        </w:tc>
      </w:tr>
      <w:tr w:rsidR="00B11EFC" w:rsidRPr="00B11EFC" w14:paraId="1E428E07" w14:textId="77777777" w:rsidTr="00B11EFC">
        <w:trPr>
          <w:trHeight w:val="20"/>
          <w:jc w:val="center"/>
        </w:trPr>
        <w:tc>
          <w:tcPr>
            <w:tcW w:w="3104" w:type="dxa"/>
            <w:tcBorders>
              <w:top w:val="nil"/>
              <w:left w:val="single" w:sz="4" w:space="0" w:color="auto"/>
              <w:bottom w:val="single" w:sz="4" w:space="0" w:color="auto"/>
              <w:right w:val="single" w:sz="4" w:space="0" w:color="auto"/>
            </w:tcBorders>
            <w:vAlign w:val="center"/>
          </w:tcPr>
          <w:p w14:paraId="43DD7D6C" w14:textId="77777777" w:rsidR="00B11EFC" w:rsidRPr="00B11EFC" w:rsidRDefault="00B11EFC" w:rsidP="00B11EFC">
            <w:pPr>
              <w:spacing w:after="0" w:line="240" w:lineRule="auto"/>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REZULTAT</w:t>
            </w:r>
          </w:p>
        </w:tc>
        <w:tc>
          <w:tcPr>
            <w:tcW w:w="2278" w:type="dxa"/>
            <w:tcBorders>
              <w:top w:val="nil"/>
              <w:left w:val="nil"/>
              <w:bottom w:val="single" w:sz="4" w:space="0" w:color="auto"/>
              <w:right w:val="single" w:sz="4" w:space="0" w:color="auto"/>
            </w:tcBorders>
            <w:noWrap/>
            <w:vAlign w:val="center"/>
          </w:tcPr>
          <w:p w14:paraId="232183D5" w14:textId="77777777" w:rsidR="00B11EFC" w:rsidRPr="00B11EFC" w:rsidRDefault="00B11EFC" w:rsidP="00B11EFC">
            <w:pPr>
              <w:spacing w:after="0" w:line="240" w:lineRule="auto"/>
              <w:jc w:val="right"/>
              <w:textAlignment w:val="top"/>
              <w:rPr>
                <w:rFonts w:ascii="Times New Roman" w:eastAsia="SimSun" w:hAnsi="Times New Roman" w:cs="Times New Roman"/>
                <w:b/>
                <w:bCs/>
                <w:kern w:val="0"/>
                <w:lang w:val="en-US" w:eastAsia="hr-HR"/>
                <w14:ligatures w14:val="none"/>
              </w:rPr>
            </w:pPr>
            <w:r w:rsidRPr="00B11EFC">
              <w:rPr>
                <w:rFonts w:ascii="Times New Roman" w:eastAsia="SimSun" w:hAnsi="Times New Roman" w:cs="Times New Roman"/>
                <w:b/>
                <w:bCs/>
                <w:kern w:val="0"/>
                <w:lang w:eastAsia="zh-CN" w:bidi="ar"/>
                <w14:ligatures w14:val="none"/>
              </w:rPr>
              <w:t>-36.690,10</w:t>
            </w:r>
          </w:p>
        </w:tc>
        <w:tc>
          <w:tcPr>
            <w:tcW w:w="2090" w:type="dxa"/>
            <w:tcBorders>
              <w:top w:val="nil"/>
              <w:left w:val="nil"/>
              <w:bottom w:val="single" w:sz="4" w:space="0" w:color="auto"/>
              <w:right w:val="single" w:sz="4" w:space="0" w:color="auto"/>
            </w:tcBorders>
            <w:noWrap/>
            <w:vAlign w:val="center"/>
          </w:tcPr>
          <w:p w14:paraId="57CB55EC" w14:textId="77777777" w:rsidR="00B11EFC" w:rsidRPr="00B11EFC" w:rsidRDefault="00B11EFC" w:rsidP="00B11EFC">
            <w:pPr>
              <w:spacing w:after="0" w:line="240" w:lineRule="auto"/>
              <w:jc w:val="right"/>
              <w:rPr>
                <w:rFonts w:ascii="Times New Roman" w:eastAsia="Times New Roman" w:hAnsi="Times New Roman" w:cs="Times New Roman"/>
                <w:b/>
                <w:bCs/>
                <w:kern w:val="0"/>
                <w:lang w:eastAsia="hr-HR"/>
                <w14:ligatures w14:val="none"/>
              </w:rPr>
            </w:pPr>
            <w:r w:rsidRPr="00B11EFC">
              <w:rPr>
                <w:rFonts w:ascii="Times New Roman" w:eastAsia="Times New Roman" w:hAnsi="Times New Roman" w:cs="Times New Roman"/>
                <w:b/>
                <w:bCs/>
                <w:kern w:val="0"/>
                <w:lang w:eastAsia="hr-HR"/>
                <w14:ligatures w14:val="none"/>
              </w:rPr>
              <w:t>0,00</w:t>
            </w:r>
          </w:p>
        </w:tc>
        <w:tc>
          <w:tcPr>
            <w:tcW w:w="2268" w:type="dxa"/>
            <w:tcBorders>
              <w:top w:val="nil"/>
              <w:left w:val="nil"/>
              <w:bottom w:val="single" w:sz="4" w:space="0" w:color="auto"/>
              <w:right w:val="single" w:sz="4" w:space="0" w:color="auto"/>
            </w:tcBorders>
            <w:noWrap/>
            <w:vAlign w:val="center"/>
          </w:tcPr>
          <w:p w14:paraId="2EAC2CE1" w14:textId="77777777" w:rsidR="00B11EFC" w:rsidRPr="00B11EFC" w:rsidRDefault="00B11EFC" w:rsidP="00B11EFC">
            <w:pPr>
              <w:spacing w:after="0" w:line="240" w:lineRule="auto"/>
              <w:jc w:val="right"/>
              <w:textAlignment w:val="top"/>
              <w:rPr>
                <w:rFonts w:ascii="Times New Roman" w:eastAsia="SimSun" w:hAnsi="Times New Roman" w:cs="Times New Roman"/>
                <w:b/>
                <w:bCs/>
                <w:kern w:val="0"/>
                <w:lang w:val="en-US" w:eastAsia="hr-HR"/>
                <w14:ligatures w14:val="none"/>
              </w:rPr>
            </w:pPr>
            <w:r w:rsidRPr="00B11EFC">
              <w:rPr>
                <w:rFonts w:ascii="Times New Roman" w:eastAsia="SimSun" w:hAnsi="Times New Roman" w:cs="Times New Roman"/>
                <w:b/>
                <w:bCs/>
                <w:kern w:val="0"/>
                <w:lang w:eastAsia="hr-HR"/>
                <w14:ligatures w14:val="none"/>
              </w:rPr>
              <w:t>-5.571,96</w:t>
            </w:r>
          </w:p>
        </w:tc>
      </w:tr>
    </w:tbl>
    <w:p w14:paraId="7A4F77A9" w14:textId="77777777" w:rsidR="00B11EFC" w:rsidRPr="00B11EFC" w:rsidRDefault="00B11EFC" w:rsidP="00B11EFC">
      <w:pPr>
        <w:spacing w:after="0" w:line="240" w:lineRule="auto"/>
        <w:jc w:val="both"/>
        <w:rPr>
          <w:rFonts w:ascii="Times New Roman" w:eastAsia="SimSun" w:hAnsi="Times New Roman" w:cs="Times New Roman"/>
          <w:kern w:val="0"/>
          <w:lang w:eastAsia="hr-HR"/>
          <w14:ligatures w14:val="none"/>
        </w:rPr>
      </w:pPr>
    </w:p>
    <w:p w14:paraId="55AE756C" w14:textId="77777777" w:rsidR="00B11EFC" w:rsidRPr="00B11EFC" w:rsidRDefault="00B11EFC" w:rsidP="00B11EFC">
      <w:pPr>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 xml:space="preserve">Ukupni prihodi/primici ostvareni su u iznosu od </w:t>
      </w:r>
      <w:bookmarkStart w:id="1" w:name="_Hlk130375500"/>
      <w:r w:rsidRPr="00B11EFC">
        <w:rPr>
          <w:rFonts w:ascii="Times New Roman" w:eastAsia="SimSun" w:hAnsi="Times New Roman" w:cs="Times New Roman"/>
          <w:kern w:val="0"/>
          <w:lang w:eastAsia="hr-HR"/>
          <w14:ligatures w14:val="none"/>
        </w:rPr>
        <w:t xml:space="preserve">535.738,67 eura </w:t>
      </w:r>
      <w:bookmarkEnd w:id="1"/>
      <w:r w:rsidRPr="00B11EFC">
        <w:rPr>
          <w:rFonts w:ascii="Times New Roman" w:eastAsia="SimSun" w:hAnsi="Times New Roman" w:cs="Times New Roman"/>
          <w:kern w:val="0"/>
          <w:lang w:eastAsia="hr-HR"/>
          <w14:ligatures w14:val="none"/>
        </w:rPr>
        <w:t>i za 5,11% su veći od izvornog plana, a ukupni rashodi/izdaci ostvareni su u iznosu od 504.620,53 eura i za 0,99% su veći od plana. Ostvareni višak tekuće godine iznosi 31.118,14 eura te mu dodajući preneseni manjak u iznosu od 36.360,14 eura, manjak prihoda i primitaka za pokriće u slijedećem razdoblju iznosi 5.571,96 eura.</w:t>
      </w:r>
    </w:p>
    <w:p w14:paraId="20DB80C9" w14:textId="77777777" w:rsidR="00B11EFC" w:rsidRPr="00B11EFC" w:rsidRDefault="00B11EFC" w:rsidP="00B11EFC">
      <w:pPr>
        <w:spacing w:after="0" w:line="360" w:lineRule="auto"/>
        <w:jc w:val="both"/>
        <w:rPr>
          <w:rFonts w:ascii="Times New Roman" w:eastAsia="SimSun" w:hAnsi="Times New Roman" w:cs="Times New Roman"/>
          <w:kern w:val="0"/>
          <w:lang w:eastAsia="hr-HR"/>
          <w14:ligatures w14:val="none"/>
        </w:rPr>
      </w:pPr>
    </w:p>
    <w:p w14:paraId="26A5A226" w14:textId="77777777" w:rsidR="00B11EFC" w:rsidRDefault="00B11EFC" w:rsidP="00B11EFC">
      <w:pPr>
        <w:spacing w:after="0" w:line="240" w:lineRule="auto"/>
        <w:jc w:val="center"/>
        <w:rPr>
          <w:rFonts w:ascii="Times New Roman" w:eastAsia="SimSun" w:hAnsi="Times New Roman" w:cs="Times New Roman"/>
          <w:kern w:val="0"/>
          <w:lang w:eastAsia="hr-HR"/>
          <w14:ligatures w14:val="none"/>
        </w:rPr>
      </w:pPr>
      <w:r w:rsidRPr="00B11EFC">
        <w:rPr>
          <w:rFonts w:ascii="Times New Roman" w:eastAsia="SimSun" w:hAnsi="Times New Roman" w:cs="Times New Roman"/>
          <w:b/>
          <w:bCs/>
          <w:kern w:val="0"/>
          <w:lang w:eastAsia="hr-HR"/>
          <w14:ligatures w14:val="none"/>
        </w:rPr>
        <w:t>OBRAZLOŽENJE OSTVARENJA PRIHODA/PRIMITAKA</w:t>
      </w:r>
    </w:p>
    <w:p w14:paraId="2D25297C" w14:textId="77777777" w:rsidR="00B11EFC" w:rsidRDefault="00B11EFC" w:rsidP="00B11EFC">
      <w:pPr>
        <w:spacing w:after="0" w:line="240" w:lineRule="auto"/>
        <w:jc w:val="center"/>
        <w:rPr>
          <w:rFonts w:ascii="Times New Roman" w:eastAsia="SimSun" w:hAnsi="Times New Roman" w:cs="Times New Roman"/>
          <w:kern w:val="0"/>
          <w:lang w:eastAsia="hr-HR"/>
          <w14:ligatures w14:val="none"/>
        </w:rPr>
      </w:pPr>
    </w:p>
    <w:p w14:paraId="1707ECD5" w14:textId="05B53685" w:rsidR="00B11EFC" w:rsidRPr="00B11EFC" w:rsidRDefault="00B11EFC" w:rsidP="00B11EFC">
      <w:pPr>
        <w:spacing w:after="0" w:line="360" w:lineRule="auto"/>
        <w:jc w:val="both"/>
        <w:rPr>
          <w:rFonts w:ascii="Times New Roman" w:eastAsia="SimSun" w:hAnsi="Times New Roman" w:cs="Times New Roman"/>
          <w:kern w:val="0"/>
          <w:lang w:eastAsia="hr-HR"/>
          <w14:ligatures w14:val="none"/>
        </w:rPr>
      </w:pPr>
      <w:r w:rsidRPr="00B11EFC">
        <w:rPr>
          <w:rFonts w:ascii="Times New Roman" w:eastAsia="SimSun" w:hAnsi="Times New Roman" w:cs="Times New Roman"/>
          <w:kern w:val="0"/>
          <w:lang w:eastAsia="hr-HR"/>
          <w14:ligatures w14:val="none"/>
        </w:rPr>
        <w:t>Realizacija prihoda/primitaka Vrtića u odnosu na isto razdoblje prošle godine veća je za 37,77%, a ostvarenje u odnosu na godišnji plan iznosi 105,11%. Struktura prihoda pokazuje da su osnovni izvor prihoda prihodi poslovanja koji čine 100,00 % ukupnih prihoda. Prihodi od prodaje nefinancijske imovine nisu bili realizirani, kao ni primici od financijske imovine i zaduživanja</w:t>
      </w:r>
      <w:r w:rsidRPr="00B11EFC">
        <w:rPr>
          <w:rFonts w:ascii="Garamond" w:eastAsia="SimSun" w:hAnsi="Garamond" w:cs="Calibri"/>
          <w:kern w:val="0"/>
          <w:lang w:eastAsia="hr-HR"/>
          <w14:ligatures w14:val="none"/>
        </w:rPr>
        <w:t>.</w:t>
      </w:r>
    </w:p>
    <w:tbl>
      <w:tblPr>
        <w:tblW w:w="10992" w:type="dxa"/>
        <w:jc w:val="center"/>
        <w:tblLayout w:type="fixed"/>
        <w:tblLook w:val="0000" w:firstRow="0" w:lastRow="0" w:firstColumn="0" w:lastColumn="0" w:noHBand="0" w:noVBand="0"/>
      </w:tblPr>
      <w:tblGrid>
        <w:gridCol w:w="2405"/>
        <w:gridCol w:w="1502"/>
        <w:gridCol w:w="1961"/>
        <w:gridCol w:w="1795"/>
        <w:gridCol w:w="1134"/>
        <w:gridCol w:w="1260"/>
        <w:gridCol w:w="935"/>
      </w:tblGrid>
      <w:tr w:rsidR="00B11EFC" w:rsidRPr="00B11EFC" w14:paraId="1A5EB901" w14:textId="77777777" w:rsidTr="00B11EFC">
        <w:trPr>
          <w:trHeight w:val="495"/>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vAlign w:val="center"/>
          </w:tcPr>
          <w:p w14:paraId="26155B75" w14:textId="77777777" w:rsidR="00B11EFC" w:rsidRPr="00B11EFC" w:rsidRDefault="00B11EFC" w:rsidP="00B11EFC">
            <w:pPr>
              <w:spacing w:after="0" w:line="240" w:lineRule="auto"/>
              <w:jc w:val="center"/>
              <w:rPr>
                <w:rFonts w:ascii="Times New Roman" w:eastAsia="Times New Roman" w:hAnsi="Times New Roman" w:cs="Times New Roman"/>
                <w:b/>
                <w:kern w:val="0"/>
                <w:lang w:eastAsia="hr-HR"/>
                <w14:ligatures w14:val="none"/>
              </w:rPr>
            </w:pPr>
            <w:r w:rsidRPr="00B11EFC">
              <w:rPr>
                <w:rFonts w:ascii="Times New Roman" w:eastAsia="Times New Roman" w:hAnsi="Times New Roman" w:cs="Times New Roman"/>
                <w:b/>
                <w:kern w:val="0"/>
                <w:lang w:eastAsia="hr-HR"/>
                <w14:ligatures w14:val="none"/>
              </w:rPr>
              <w:t>PRIHODI</w:t>
            </w:r>
          </w:p>
        </w:tc>
        <w:tc>
          <w:tcPr>
            <w:tcW w:w="1502" w:type="dxa"/>
            <w:tcBorders>
              <w:top w:val="single" w:sz="4" w:space="0" w:color="auto"/>
              <w:left w:val="nil"/>
              <w:bottom w:val="single" w:sz="4" w:space="0" w:color="auto"/>
              <w:right w:val="single" w:sz="4" w:space="0" w:color="auto"/>
            </w:tcBorders>
            <w:shd w:val="clear" w:color="auto" w:fill="E7E6E6"/>
            <w:vAlign w:val="center"/>
          </w:tcPr>
          <w:p w14:paraId="1C625433" w14:textId="77777777" w:rsidR="00B11EFC" w:rsidRPr="00B11EFC" w:rsidRDefault="00B11EFC" w:rsidP="00B11EFC">
            <w:pPr>
              <w:spacing w:after="0" w:line="240" w:lineRule="auto"/>
              <w:jc w:val="center"/>
              <w:rPr>
                <w:rFonts w:ascii="Times New Roman" w:eastAsia="Times New Roman" w:hAnsi="Times New Roman" w:cs="Times New Roman"/>
                <w:b/>
                <w:kern w:val="0"/>
                <w:lang w:eastAsia="hr-HR"/>
                <w14:ligatures w14:val="none"/>
              </w:rPr>
            </w:pPr>
            <w:r w:rsidRPr="00B11EFC">
              <w:rPr>
                <w:rFonts w:ascii="Times New Roman" w:eastAsia="Times New Roman" w:hAnsi="Times New Roman" w:cs="Times New Roman"/>
                <w:b/>
                <w:kern w:val="0"/>
                <w:lang w:eastAsia="hr-HR"/>
                <w14:ligatures w14:val="none"/>
              </w:rPr>
              <w:t>IZVRŠENJE 202</w:t>
            </w:r>
            <w:r w:rsidRPr="00B11EFC">
              <w:rPr>
                <w:rFonts w:ascii="Times New Roman" w:eastAsia="Times New Roman" w:hAnsi="Times New Roman" w:cs="Times New Roman"/>
                <w:b/>
                <w:kern w:val="0"/>
                <w:lang w:val="en-US" w:eastAsia="hr-HR"/>
                <w14:ligatures w14:val="none"/>
              </w:rPr>
              <w:t>4</w:t>
            </w:r>
            <w:r w:rsidRPr="00B11EFC">
              <w:rPr>
                <w:rFonts w:ascii="Times New Roman" w:eastAsia="Times New Roman" w:hAnsi="Times New Roman" w:cs="Times New Roman"/>
                <w:b/>
                <w:kern w:val="0"/>
                <w:lang w:eastAsia="hr-HR"/>
                <w14:ligatures w14:val="none"/>
              </w:rPr>
              <w:t>.</w:t>
            </w:r>
          </w:p>
        </w:tc>
        <w:tc>
          <w:tcPr>
            <w:tcW w:w="1961" w:type="dxa"/>
            <w:tcBorders>
              <w:top w:val="single" w:sz="4" w:space="0" w:color="auto"/>
              <w:left w:val="nil"/>
              <w:bottom w:val="single" w:sz="4" w:space="0" w:color="auto"/>
              <w:right w:val="single" w:sz="4" w:space="0" w:color="auto"/>
            </w:tcBorders>
            <w:shd w:val="clear" w:color="auto" w:fill="E7E6E6"/>
            <w:vAlign w:val="center"/>
          </w:tcPr>
          <w:p w14:paraId="0344E0F4" w14:textId="77777777" w:rsidR="00B11EFC" w:rsidRPr="00B11EFC" w:rsidRDefault="00B11EFC" w:rsidP="00B11EFC">
            <w:pPr>
              <w:spacing w:after="0" w:line="240" w:lineRule="auto"/>
              <w:jc w:val="center"/>
              <w:rPr>
                <w:rFonts w:ascii="Times New Roman" w:eastAsia="Times New Roman" w:hAnsi="Times New Roman" w:cs="Times New Roman"/>
                <w:b/>
                <w:kern w:val="0"/>
                <w:lang w:eastAsia="hr-HR"/>
                <w14:ligatures w14:val="none"/>
              </w:rPr>
            </w:pPr>
            <w:r w:rsidRPr="00B11EFC">
              <w:rPr>
                <w:rFonts w:ascii="Times New Roman" w:eastAsia="Times New Roman" w:hAnsi="Times New Roman" w:cs="Times New Roman"/>
                <w:b/>
                <w:kern w:val="0"/>
                <w:lang w:eastAsia="hr-HR"/>
                <w14:ligatures w14:val="none"/>
              </w:rPr>
              <w:t>PLAN 202</w:t>
            </w:r>
            <w:r w:rsidRPr="00B11EFC">
              <w:rPr>
                <w:rFonts w:ascii="Times New Roman" w:eastAsia="Times New Roman" w:hAnsi="Times New Roman" w:cs="Times New Roman"/>
                <w:b/>
                <w:kern w:val="0"/>
                <w:lang w:val="en-US" w:eastAsia="hr-HR"/>
                <w14:ligatures w14:val="none"/>
              </w:rPr>
              <w:t>5</w:t>
            </w:r>
            <w:r w:rsidRPr="00B11EFC">
              <w:rPr>
                <w:rFonts w:ascii="Times New Roman" w:eastAsia="Times New Roman" w:hAnsi="Times New Roman" w:cs="Times New Roman"/>
                <w:b/>
                <w:kern w:val="0"/>
                <w:lang w:eastAsia="hr-HR"/>
                <w14:ligatures w14:val="none"/>
              </w:rPr>
              <w:t>.</w:t>
            </w:r>
          </w:p>
        </w:tc>
        <w:tc>
          <w:tcPr>
            <w:tcW w:w="1795" w:type="dxa"/>
            <w:tcBorders>
              <w:top w:val="single" w:sz="4" w:space="0" w:color="auto"/>
              <w:left w:val="nil"/>
              <w:bottom w:val="single" w:sz="4" w:space="0" w:color="auto"/>
              <w:right w:val="single" w:sz="4" w:space="0" w:color="auto"/>
            </w:tcBorders>
            <w:shd w:val="clear" w:color="auto" w:fill="E7E6E6"/>
            <w:vAlign w:val="center"/>
          </w:tcPr>
          <w:p w14:paraId="04769B81" w14:textId="77777777" w:rsidR="00B11EFC" w:rsidRPr="00B11EFC" w:rsidRDefault="00B11EFC" w:rsidP="00B11EFC">
            <w:pPr>
              <w:spacing w:after="0" w:line="240" w:lineRule="auto"/>
              <w:jc w:val="center"/>
              <w:rPr>
                <w:rFonts w:ascii="Times New Roman" w:eastAsia="Times New Roman" w:hAnsi="Times New Roman" w:cs="Times New Roman"/>
                <w:b/>
                <w:kern w:val="0"/>
                <w:lang w:eastAsia="hr-HR"/>
                <w14:ligatures w14:val="none"/>
              </w:rPr>
            </w:pPr>
            <w:r w:rsidRPr="00B11EFC">
              <w:rPr>
                <w:rFonts w:ascii="Times New Roman" w:eastAsia="Times New Roman" w:hAnsi="Times New Roman" w:cs="Times New Roman"/>
                <w:b/>
                <w:kern w:val="0"/>
                <w:lang w:eastAsia="hr-HR"/>
                <w14:ligatures w14:val="none"/>
              </w:rPr>
              <w:t>IZVRŠENJE 202</w:t>
            </w:r>
            <w:r w:rsidRPr="00B11EFC">
              <w:rPr>
                <w:rFonts w:ascii="Times New Roman" w:eastAsia="Times New Roman" w:hAnsi="Times New Roman" w:cs="Times New Roman"/>
                <w:b/>
                <w:kern w:val="0"/>
                <w:lang w:val="en-US" w:eastAsia="hr-HR"/>
                <w14:ligatures w14:val="none"/>
              </w:rPr>
              <w:t>5</w:t>
            </w:r>
            <w:r w:rsidRPr="00B11EFC">
              <w:rPr>
                <w:rFonts w:ascii="Times New Roman" w:eastAsia="Times New Roman" w:hAnsi="Times New Roman" w:cs="Times New Roman"/>
                <w:b/>
                <w:kern w:val="0"/>
                <w:lang w:eastAsia="hr-HR"/>
                <w14:ligatures w14:val="none"/>
              </w:rPr>
              <w:t>.</w:t>
            </w:r>
          </w:p>
        </w:tc>
        <w:tc>
          <w:tcPr>
            <w:tcW w:w="1134" w:type="dxa"/>
            <w:tcBorders>
              <w:top w:val="single" w:sz="4" w:space="0" w:color="auto"/>
              <w:left w:val="nil"/>
              <w:bottom w:val="single" w:sz="4" w:space="0" w:color="auto"/>
              <w:right w:val="single" w:sz="4" w:space="0" w:color="auto"/>
            </w:tcBorders>
            <w:shd w:val="clear" w:color="auto" w:fill="E7E6E6"/>
            <w:vAlign w:val="center"/>
          </w:tcPr>
          <w:p w14:paraId="55385372" w14:textId="77777777" w:rsidR="00B11EFC" w:rsidRPr="00B11EFC" w:rsidRDefault="00B11EFC" w:rsidP="00B11EFC">
            <w:pPr>
              <w:spacing w:after="0" w:line="240" w:lineRule="auto"/>
              <w:jc w:val="center"/>
              <w:rPr>
                <w:rFonts w:ascii="Times New Roman" w:eastAsia="Times New Roman" w:hAnsi="Times New Roman" w:cs="Times New Roman"/>
                <w:b/>
                <w:kern w:val="0"/>
                <w:lang w:eastAsia="hr-HR"/>
                <w14:ligatures w14:val="none"/>
              </w:rPr>
            </w:pPr>
            <w:r w:rsidRPr="00B11EFC">
              <w:rPr>
                <w:rFonts w:ascii="Times New Roman" w:eastAsia="Times New Roman" w:hAnsi="Times New Roman" w:cs="Times New Roman"/>
                <w:b/>
                <w:kern w:val="0"/>
                <w:lang w:eastAsia="hr-HR"/>
                <w14:ligatures w14:val="none"/>
              </w:rPr>
              <w:t>% učešća</w:t>
            </w:r>
          </w:p>
        </w:tc>
        <w:tc>
          <w:tcPr>
            <w:tcW w:w="1260" w:type="dxa"/>
            <w:tcBorders>
              <w:top w:val="single" w:sz="4" w:space="0" w:color="auto"/>
              <w:left w:val="nil"/>
              <w:bottom w:val="single" w:sz="4" w:space="0" w:color="auto"/>
              <w:right w:val="single" w:sz="4" w:space="0" w:color="auto"/>
            </w:tcBorders>
            <w:shd w:val="clear" w:color="auto" w:fill="E7E6E6"/>
            <w:vAlign w:val="center"/>
          </w:tcPr>
          <w:p w14:paraId="6CE613FE" w14:textId="77777777" w:rsidR="00B11EFC" w:rsidRPr="00B11EFC" w:rsidRDefault="00B11EFC" w:rsidP="00B11EFC">
            <w:pPr>
              <w:spacing w:after="0" w:line="240" w:lineRule="auto"/>
              <w:jc w:val="center"/>
              <w:rPr>
                <w:rFonts w:ascii="Times New Roman" w:eastAsia="Times New Roman" w:hAnsi="Times New Roman" w:cs="Times New Roman"/>
                <w:b/>
                <w:kern w:val="0"/>
                <w:lang w:eastAsia="hr-HR"/>
                <w14:ligatures w14:val="none"/>
              </w:rPr>
            </w:pPr>
            <w:r w:rsidRPr="00B11EFC">
              <w:rPr>
                <w:rFonts w:ascii="Times New Roman" w:eastAsia="Times New Roman" w:hAnsi="Times New Roman" w:cs="Times New Roman"/>
                <w:b/>
                <w:kern w:val="0"/>
                <w:lang w:eastAsia="hr-HR"/>
                <w14:ligatures w14:val="none"/>
              </w:rPr>
              <w:t>% izvršenja</w:t>
            </w:r>
          </w:p>
        </w:tc>
        <w:tc>
          <w:tcPr>
            <w:tcW w:w="935" w:type="dxa"/>
            <w:tcBorders>
              <w:top w:val="single" w:sz="4" w:space="0" w:color="auto"/>
              <w:left w:val="nil"/>
              <w:bottom w:val="single" w:sz="4" w:space="0" w:color="auto"/>
              <w:right w:val="single" w:sz="4" w:space="0" w:color="auto"/>
            </w:tcBorders>
            <w:shd w:val="clear" w:color="auto" w:fill="E7E6E6"/>
            <w:vAlign w:val="center"/>
          </w:tcPr>
          <w:p w14:paraId="5199F527" w14:textId="77777777" w:rsidR="00B11EFC" w:rsidRPr="00B11EFC" w:rsidRDefault="00B11EFC" w:rsidP="00B11EFC">
            <w:pPr>
              <w:spacing w:after="0" w:line="240" w:lineRule="auto"/>
              <w:jc w:val="center"/>
              <w:rPr>
                <w:rFonts w:ascii="Times New Roman" w:eastAsia="Times New Roman" w:hAnsi="Times New Roman" w:cs="Times New Roman"/>
                <w:b/>
                <w:kern w:val="0"/>
                <w:lang w:eastAsia="hr-HR"/>
                <w14:ligatures w14:val="none"/>
              </w:rPr>
            </w:pPr>
            <w:r w:rsidRPr="00B11EFC">
              <w:rPr>
                <w:rFonts w:ascii="Times New Roman" w:eastAsia="Times New Roman" w:hAnsi="Times New Roman" w:cs="Times New Roman"/>
                <w:b/>
                <w:kern w:val="0"/>
                <w:lang w:eastAsia="hr-HR"/>
                <w14:ligatures w14:val="none"/>
              </w:rPr>
              <w:t>Indeks 202</w:t>
            </w:r>
            <w:r w:rsidRPr="00B11EFC">
              <w:rPr>
                <w:rFonts w:ascii="Times New Roman" w:eastAsia="Times New Roman" w:hAnsi="Times New Roman" w:cs="Times New Roman"/>
                <w:b/>
                <w:kern w:val="0"/>
                <w:lang w:val="en-US" w:eastAsia="hr-HR"/>
                <w14:ligatures w14:val="none"/>
              </w:rPr>
              <w:t>5</w:t>
            </w:r>
            <w:r w:rsidRPr="00B11EFC">
              <w:rPr>
                <w:rFonts w:ascii="Times New Roman" w:eastAsia="Times New Roman" w:hAnsi="Times New Roman" w:cs="Times New Roman"/>
                <w:b/>
                <w:kern w:val="0"/>
                <w:lang w:eastAsia="hr-HR"/>
                <w14:ligatures w14:val="none"/>
              </w:rPr>
              <w:t>./202</w:t>
            </w:r>
            <w:r w:rsidRPr="00B11EFC">
              <w:rPr>
                <w:rFonts w:ascii="Times New Roman" w:eastAsia="Times New Roman" w:hAnsi="Times New Roman" w:cs="Times New Roman"/>
                <w:b/>
                <w:kern w:val="0"/>
                <w:lang w:val="en-US" w:eastAsia="hr-HR"/>
                <w14:ligatures w14:val="none"/>
              </w:rPr>
              <w:t>4</w:t>
            </w:r>
            <w:r w:rsidRPr="00B11EFC">
              <w:rPr>
                <w:rFonts w:ascii="Times New Roman" w:eastAsia="Times New Roman" w:hAnsi="Times New Roman" w:cs="Times New Roman"/>
                <w:b/>
                <w:kern w:val="0"/>
                <w:lang w:eastAsia="hr-HR"/>
                <w14:ligatures w14:val="none"/>
              </w:rPr>
              <w:t>.</w:t>
            </w:r>
          </w:p>
        </w:tc>
      </w:tr>
      <w:tr w:rsidR="00B11EFC" w:rsidRPr="00B11EFC" w14:paraId="6F5D7C76" w14:textId="77777777" w:rsidTr="008564CC">
        <w:trPr>
          <w:trHeight w:val="344"/>
          <w:jc w:val="center"/>
        </w:trPr>
        <w:tc>
          <w:tcPr>
            <w:tcW w:w="2405" w:type="dxa"/>
            <w:tcBorders>
              <w:top w:val="nil"/>
              <w:left w:val="single" w:sz="4" w:space="0" w:color="auto"/>
              <w:bottom w:val="single" w:sz="4" w:space="0" w:color="auto"/>
              <w:right w:val="single" w:sz="4" w:space="0" w:color="auto"/>
            </w:tcBorders>
            <w:vAlign w:val="center"/>
          </w:tcPr>
          <w:p w14:paraId="3EEC1B0D" w14:textId="77777777" w:rsidR="00B11EFC" w:rsidRPr="00B11EFC" w:rsidRDefault="00B11EFC" w:rsidP="00B11EFC">
            <w:pPr>
              <w:spacing w:after="0" w:line="240" w:lineRule="auto"/>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PRIHODI POSLOVANJA</w:t>
            </w:r>
          </w:p>
        </w:tc>
        <w:tc>
          <w:tcPr>
            <w:tcW w:w="1502" w:type="dxa"/>
            <w:tcBorders>
              <w:top w:val="nil"/>
              <w:left w:val="nil"/>
              <w:bottom w:val="single" w:sz="4" w:space="0" w:color="auto"/>
              <w:right w:val="single" w:sz="4" w:space="0" w:color="auto"/>
            </w:tcBorders>
            <w:noWrap/>
            <w:vAlign w:val="center"/>
          </w:tcPr>
          <w:p w14:paraId="02D6AAB4" w14:textId="5A3E1BA9" w:rsidR="00B11EFC" w:rsidRPr="00B11EFC" w:rsidRDefault="00B11EFC" w:rsidP="008564CC">
            <w:pPr>
              <w:spacing w:after="0" w:line="240" w:lineRule="auto"/>
              <w:jc w:val="center"/>
              <w:textAlignment w:val="top"/>
              <w:rPr>
                <w:rFonts w:ascii="Arial" w:eastAsia="SimSun" w:hAnsi="Arial" w:cs="Arial"/>
                <w:b/>
                <w:bCs/>
                <w:kern w:val="0"/>
                <w:lang w:eastAsia="hr-HR"/>
                <w14:ligatures w14:val="none"/>
              </w:rPr>
            </w:pPr>
            <w:r w:rsidRPr="00B11EFC">
              <w:rPr>
                <w:rFonts w:ascii="Times New Roman" w:eastAsia="SimSun" w:hAnsi="Times New Roman" w:cs="Times New Roman"/>
                <w:kern w:val="0"/>
                <w:lang w:val="en-US" w:eastAsia="zh-CN" w:bidi="ar"/>
                <w14:ligatures w14:val="none"/>
              </w:rPr>
              <w:t>388.850,51</w:t>
            </w:r>
          </w:p>
        </w:tc>
        <w:tc>
          <w:tcPr>
            <w:tcW w:w="1961" w:type="dxa"/>
            <w:tcBorders>
              <w:top w:val="nil"/>
              <w:left w:val="nil"/>
              <w:bottom w:val="single" w:sz="4" w:space="0" w:color="auto"/>
              <w:right w:val="single" w:sz="4" w:space="0" w:color="auto"/>
            </w:tcBorders>
            <w:noWrap/>
            <w:vAlign w:val="center"/>
          </w:tcPr>
          <w:p w14:paraId="005F5ADD" w14:textId="77777777" w:rsidR="00B11EFC" w:rsidRPr="00B11EFC" w:rsidRDefault="00B11EFC" w:rsidP="00B11EFC">
            <w:pPr>
              <w:spacing w:after="0" w:line="240" w:lineRule="auto"/>
              <w:jc w:val="right"/>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509.680,00</w:t>
            </w:r>
          </w:p>
        </w:tc>
        <w:tc>
          <w:tcPr>
            <w:tcW w:w="1795" w:type="dxa"/>
            <w:tcBorders>
              <w:top w:val="nil"/>
              <w:left w:val="nil"/>
              <w:bottom w:val="single" w:sz="4" w:space="0" w:color="auto"/>
              <w:right w:val="single" w:sz="4" w:space="0" w:color="auto"/>
            </w:tcBorders>
            <w:noWrap/>
            <w:vAlign w:val="center"/>
          </w:tcPr>
          <w:p w14:paraId="652D8EDA" w14:textId="77777777" w:rsidR="00B11EFC" w:rsidRPr="00B11EFC" w:rsidRDefault="00B11EFC" w:rsidP="00B11EFC">
            <w:pPr>
              <w:spacing w:after="0" w:line="240" w:lineRule="auto"/>
              <w:jc w:val="right"/>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535.738,67</w:t>
            </w:r>
          </w:p>
        </w:tc>
        <w:tc>
          <w:tcPr>
            <w:tcW w:w="1134" w:type="dxa"/>
            <w:tcBorders>
              <w:top w:val="nil"/>
              <w:left w:val="nil"/>
              <w:bottom w:val="single" w:sz="4" w:space="0" w:color="auto"/>
              <w:right w:val="single" w:sz="4" w:space="0" w:color="auto"/>
            </w:tcBorders>
            <w:noWrap/>
            <w:vAlign w:val="center"/>
          </w:tcPr>
          <w:p w14:paraId="1FCE255F" w14:textId="77777777" w:rsidR="00B11EFC" w:rsidRPr="00B11EFC" w:rsidRDefault="00B11EFC" w:rsidP="00B11EFC">
            <w:pPr>
              <w:spacing w:after="0" w:line="240" w:lineRule="auto"/>
              <w:jc w:val="right"/>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100,00</w:t>
            </w:r>
          </w:p>
        </w:tc>
        <w:tc>
          <w:tcPr>
            <w:tcW w:w="1260" w:type="dxa"/>
            <w:tcBorders>
              <w:top w:val="nil"/>
              <w:left w:val="nil"/>
              <w:bottom w:val="single" w:sz="4" w:space="0" w:color="auto"/>
              <w:right w:val="single" w:sz="4" w:space="0" w:color="auto"/>
            </w:tcBorders>
            <w:noWrap/>
            <w:vAlign w:val="center"/>
          </w:tcPr>
          <w:p w14:paraId="427C7179" w14:textId="77777777" w:rsidR="00B11EFC" w:rsidRPr="00B11EFC" w:rsidRDefault="00B11EFC" w:rsidP="00B11EFC">
            <w:pPr>
              <w:spacing w:after="0" w:line="240" w:lineRule="auto"/>
              <w:jc w:val="right"/>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105,11</w:t>
            </w:r>
          </w:p>
        </w:tc>
        <w:tc>
          <w:tcPr>
            <w:tcW w:w="935" w:type="dxa"/>
            <w:tcBorders>
              <w:top w:val="nil"/>
              <w:left w:val="nil"/>
              <w:bottom w:val="single" w:sz="4" w:space="0" w:color="auto"/>
              <w:right w:val="single" w:sz="4" w:space="0" w:color="auto"/>
            </w:tcBorders>
            <w:noWrap/>
            <w:vAlign w:val="center"/>
          </w:tcPr>
          <w:p w14:paraId="3B19FF22" w14:textId="77777777" w:rsidR="00B11EFC" w:rsidRPr="00B11EFC" w:rsidRDefault="00B11EFC" w:rsidP="00B11EFC">
            <w:pPr>
              <w:spacing w:after="0" w:line="240" w:lineRule="auto"/>
              <w:jc w:val="right"/>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37,77</w:t>
            </w:r>
          </w:p>
        </w:tc>
      </w:tr>
      <w:tr w:rsidR="00B11EFC" w:rsidRPr="00B11EFC" w14:paraId="7EA3A529" w14:textId="77777777" w:rsidTr="00B11EFC">
        <w:trPr>
          <w:trHeight w:val="344"/>
          <w:jc w:val="center"/>
        </w:trPr>
        <w:tc>
          <w:tcPr>
            <w:tcW w:w="2405" w:type="dxa"/>
            <w:tcBorders>
              <w:top w:val="nil"/>
              <w:left w:val="single" w:sz="4" w:space="0" w:color="auto"/>
              <w:bottom w:val="single" w:sz="4" w:space="0" w:color="auto"/>
              <w:right w:val="single" w:sz="4" w:space="0" w:color="auto"/>
            </w:tcBorders>
            <w:vAlign w:val="center"/>
          </w:tcPr>
          <w:p w14:paraId="707CB526" w14:textId="77777777" w:rsidR="00B11EFC" w:rsidRPr="00B11EFC" w:rsidRDefault="00B11EFC" w:rsidP="00B11EFC">
            <w:pPr>
              <w:spacing w:after="0" w:line="240" w:lineRule="auto"/>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PRIHODI OD PROD.NEFIN.IMOV.</w:t>
            </w:r>
          </w:p>
        </w:tc>
        <w:tc>
          <w:tcPr>
            <w:tcW w:w="1502" w:type="dxa"/>
            <w:tcBorders>
              <w:top w:val="nil"/>
              <w:left w:val="nil"/>
              <w:bottom w:val="single" w:sz="4" w:space="0" w:color="auto"/>
              <w:right w:val="single" w:sz="4" w:space="0" w:color="auto"/>
            </w:tcBorders>
            <w:noWrap/>
            <w:vAlign w:val="center"/>
          </w:tcPr>
          <w:p w14:paraId="7B3E5D6D" w14:textId="77777777" w:rsidR="00B11EFC" w:rsidRPr="00B11EFC" w:rsidRDefault="00B11EFC" w:rsidP="00B11EFC">
            <w:pPr>
              <w:spacing w:after="0" w:line="240" w:lineRule="auto"/>
              <w:jc w:val="right"/>
              <w:rPr>
                <w:rFonts w:ascii="Times New Roman" w:eastAsia="Times New Roman" w:hAnsi="Times New Roman" w:cs="Times New Roman"/>
                <w:kern w:val="0"/>
                <w:lang w:val="en-US" w:eastAsia="hr-HR"/>
                <w14:ligatures w14:val="none"/>
              </w:rPr>
            </w:pPr>
            <w:r w:rsidRPr="00B11EFC">
              <w:rPr>
                <w:rFonts w:ascii="Times New Roman" w:eastAsia="Times New Roman" w:hAnsi="Times New Roman" w:cs="Times New Roman"/>
                <w:kern w:val="0"/>
                <w:lang w:val="en-US" w:eastAsia="hr-HR"/>
                <w14:ligatures w14:val="none"/>
              </w:rPr>
              <w:t>0,00</w:t>
            </w:r>
          </w:p>
        </w:tc>
        <w:tc>
          <w:tcPr>
            <w:tcW w:w="1961" w:type="dxa"/>
            <w:tcBorders>
              <w:top w:val="nil"/>
              <w:left w:val="nil"/>
              <w:bottom w:val="single" w:sz="4" w:space="0" w:color="auto"/>
              <w:right w:val="single" w:sz="4" w:space="0" w:color="auto"/>
            </w:tcBorders>
            <w:noWrap/>
            <w:vAlign w:val="center"/>
          </w:tcPr>
          <w:p w14:paraId="22930AB9" w14:textId="77777777" w:rsidR="00B11EFC" w:rsidRPr="00B11EFC" w:rsidRDefault="00B11EFC" w:rsidP="00B11EFC">
            <w:pPr>
              <w:spacing w:after="0" w:line="240" w:lineRule="auto"/>
              <w:jc w:val="right"/>
              <w:rPr>
                <w:rFonts w:ascii="Times New Roman" w:eastAsia="Times New Roman" w:hAnsi="Times New Roman" w:cs="Times New Roman"/>
                <w:kern w:val="0"/>
                <w:lang w:val="en-US" w:eastAsia="hr-HR"/>
                <w14:ligatures w14:val="none"/>
              </w:rPr>
            </w:pPr>
            <w:r w:rsidRPr="00B11EFC">
              <w:rPr>
                <w:rFonts w:ascii="Times New Roman" w:eastAsia="Times New Roman" w:hAnsi="Times New Roman" w:cs="Times New Roman"/>
                <w:kern w:val="0"/>
                <w:lang w:val="en-US" w:eastAsia="hr-HR"/>
                <w14:ligatures w14:val="none"/>
              </w:rPr>
              <w:t>0,00</w:t>
            </w:r>
          </w:p>
        </w:tc>
        <w:tc>
          <w:tcPr>
            <w:tcW w:w="1795" w:type="dxa"/>
            <w:tcBorders>
              <w:top w:val="nil"/>
              <w:left w:val="nil"/>
              <w:bottom w:val="single" w:sz="4" w:space="0" w:color="auto"/>
              <w:right w:val="single" w:sz="4" w:space="0" w:color="auto"/>
            </w:tcBorders>
            <w:noWrap/>
            <w:vAlign w:val="center"/>
          </w:tcPr>
          <w:p w14:paraId="7E0F12E0" w14:textId="77777777" w:rsidR="00B11EFC" w:rsidRPr="00B11EFC" w:rsidRDefault="00B11EFC" w:rsidP="00B11EFC">
            <w:pPr>
              <w:spacing w:after="0" w:line="240" w:lineRule="auto"/>
              <w:jc w:val="right"/>
              <w:rPr>
                <w:rFonts w:ascii="Times New Roman" w:eastAsia="Times New Roman" w:hAnsi="Times New Roman" w:cs="Times New Roman"/>
                <w:kern w:val="0"/>
                <w:lang w:val="en-US" w:eastAsia="hr-HR"/>
                <w14:ligatures w14:val="none"/>
              </w:rPr>
            </w:pPr>
            <w:r w:rsidRPr="00B11EFC">
              <w:rPr>
                <w:rFonts w:ascii="Times New Roman" w:eastAsia="Times New Roman" w:hAnsi="Times New Roman" w:cs="Times New Roman"/>
                <w:kern w:val="0"/>
                <w:lang w:val="en-US" w:eastAsia="hr-HR"/>
                <w14:ligatures w14:val="none"/>
              </w:rPr>
              <w:t>0,00</w:t>
            </w:r>
          </w:p>
        </w:tc>
        <w:tc>
          <w:tcPr>
            <w:tcW w:w="1134" w:type="dxa"/>
            <w:tcBorders>
              <w:top w:val="nil"/>
              <w:left w:val="nil"/>
              <w:bottom w:val="single" w:sz="4" w:space="0" w:color="auto"/>
              <w:right w:val="single" w:sz="4" w:space="0" w:color="auto"/>
            </w:tcBorders>
            <w:noWrap/>
            <w:vAlign w:val="center"/>
          </w:tcPr>
          <w:p w14:paraId="23541A02" w14:textId="77777777" w:rsidR="00B11EFC" w:rsidRPr="00B11EFC" w:rsidRDefault="00B11EFC" w:rsidP="00B11EFC">
            <w:pPr>
              <w:spacing w:after="0" w:line="240" w:lineRule="auto"/>
              <w:jc w:val="right"/>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val="en-US" w:eastAsia="hr-HR"/>
                <w14:ligatures w14:val="none"/>
              </w:rPr>
              <w:t>0,0</w:t>
            </w:r>
            <w:r w:rsidRPr="00B11EFC">
              <w:rPr>
                <w:rFonts w:ascii="Times New Roman" w:eastAsia="Times New Roman" w:hAnsi="Times New Roman" w:cs="Times New Roman"/>
                <w:kern w:val="0"/>
                <w:lang w:eastAsia="hr-HR"/>
                <w14:ligatures w14:val="none"/>
              </w:rPr>
              <w:t>0</w:t>
            </w:r>
          </w:p>
        </w:tc>
        <w:tc>
          <w:tcPr>
            <w:tcW w:w="1260" w:type="dxa"/>
            <w:tcBorders>
              <w:top w:val="nil"/>
              <w:left w:val="nil"/>
              <w:bottom w:val="single" w:sz="4" w:space="0" w:color="auto"/>
              <w:right w:val="single" w:sz="4" w:space="0" w:color="auto"/>
            </w:tcBorders>
            <w:noWrap/>
            <w:vAlign w:val="center"/>
          </w:tcPr>
          <w:p w14:paraId="6C76714D" w14:textId="77777777" w:rsidR="00B11EFC" w:rsidRPr="00B11EFC" w:rsidRDefault="00B11EFC" w:rsidP="00B11EFC">
            <w:pPr>
              <w:spacing w:after="0" w:line="240" w:lineRule="auto"/>
              <w:jc w:val="right"/>
              <w:rPr>
                <w:rFonts w:ascii="Times New Roman" w:eastAsia="Times New Roman" w:hAnsi="Times New Roman" w:cs="Times New Roman"/>
                <w:kern w:val="0"/>
                <w:lang w:val="en-US" w:eastAsia="hr-HR"/>
                <w14:ligatures w14:val="none"/>
              </w:rPr>
            </w:pPr>
            <w:r w:rsidRPr="00B11EFC">
              <w:rPr>
                <w:rFonts w:ascii="Times New Roman" w:eastAsia="Times New Roman" w:hAnsi="Times New Roman" w:cs="Times New Roman"/>
                <w:kern w:val="0"/>
                <w:lang w:val="en-US" w:eastAsia="hr-HR"/>
                <w14:ligatures w14:val="none"/>
              </w:rPr>
              <w:t>0,0</w:t>
            </w:r>
          </w:p>
        </w:tc>
        <w:tc>
          <w:tcPr>
            <w:tcW w:w="935" w:type="dxa"/>
            <w:tcBorders>
              <w:top w:val="nil"/>
              <w:left w:val="nil"/>
              <w:bottom w:val="single" w:sz="4" w:space="0" w:color="auto"/>
              <w:right w:val="single" w:sz="4" w:space="0" w:color="auto"/>
            </w:tcBorders>
            <w:noWrap/>
            <w:vAlign w:val="center"/>
          </w:tcPr>
          <w:p w14:paraId="16E5881E" w14:textId="77777777" w:rsidR="00B11EFC" w:rsidRPr="00B11EFC" w:rsidRDefault="00B11EFC" w:rsidP="00B11EFC">
            <w:pPr>
              <w:spacing w:after="0" w:line="240" w:lineRule="auto"/>
              <w:jc w:val="right"/>
              <w:rPr>
                <w:rFonts w:ascii="Times New Roman" w:eastAsia="Times New Roman" w:hAnsi="Times New Roman" w:cs="Times New Roman"/>
                <w:kern w:val="0"/>
                <w:lang w:val="en-US" w:eastAsia="hr-HR"/>
                <w14:ligatures w14:val="none"/>
              </w:rPr>
            </w:pPr>
            <w:r w:rsidRPr="00B11EFC">
              <w:rPr>
                <w:rFonts w:ascii="Times New Roman" w:eastAsia="Times New Roman" w:hAnsi="Times New Roman" w:cs="Times New Roman"/>
                <w:kern w:val="0"/>
                <w:lang w:val="en-US" w:eastAsia="hr-HR"/>
                <w14:ligatures w14:val="none"/>
              </w:rPr>
              <w:t>-</w:t>
            </w:r>
          </w:p>
        </w:tc>
      </w:tr>
      <w:tr w:rsidR="00B11EFC" w:rsidRPr="00B11EFC" w14:paraId="12FA9E26" w14:textId="77777777" w:rsidTr="00B11EFC">
        <w:trPr>
          <w:trHeight w:val="495"/>
          <w:jc w:val="center"/>
        </w:trPr>
        <w:tc>
          <w:tcPr>
            <w:tcW w:w="2405" w:type="dxa"/>
            <w:tcBorders>
              <w:top w:val="nil"/>
              <w:left w:val="single" w:sz="4" w:space="0" w:color="auto"/>
              <w:bottom w:val="single" w:sz="4" w:space="0" w:color="auto"/>
              <w:right w:val="single" w:sz="4" w:space="0" w:color="auto"/>
            </w:tcBorders>
            <w:vAlign w:val="center"/>
          </w:tcPr>
          <w:p w14:paraId="670413EC" w14:textId="77777777" w:rsidR="00B11EFC" w:rsidRPr="00B11EFC" w:rsidRDefault="00B11EFC" w:rsidP="00B11EFC">
            <w:pPr>
              <w:spacing w:after="0" w:line="240" w:lineRule="auto"/>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eastAsia="hr-HR"/>
                <w14:ligatures w14:val="none"/>
              </w:rPr>
              <w:t>PRIMICI OD FINANCIJSKE IMOVINE I ZADUŽIVANJA</w:t>
            </w:r>
          </w:p>
        </w:tc>
        <w:tc>
          <w:tcPr>
            <w:tcW w:w="1502" w:type="dxa"/>
            <w:tcBorders>
              <w:top w:val="nil"/>
              <w:left w:val="nil"/>
              <w:bottom w:val="single" w:sz="4" w:space="0" w:color="auto"/>
              <w:right w:val="single" w:sz="4" w:space="0" w:color="auto"/>
            </w:tcBorders>
            <w:noWrap/>
            <w:vAlign w:val="center"/>
          </w:tcPr>
          <w:p w14:paraId="227D32A8" w14:textId="77777777" w:rsidR="00B11EFC" w:rsidRPr="00B11EFC" w:rsidRDefault="00B11EFC" w:rsidP="00B11EFC">
            <w:pPr>
              <w:spacing w:after="0" w:line="240" w:lineRule="auto"/>
              <w:jc w:val="right"/>
              <w:rPr>
                <w:rFonts w:ascii="Times New Roman" w:eastAsia="Times New Roman" w:hAnsi="Times New Roman" w:cs="Times New Roman"/>
                <w:kern w:val="0"/>
                <w:lang w:val="en-US" w:eastAsia="hr-HR"/>
                <w14:ligatures w14:val="none"/>
              </w:rPr>
            </w:pPr>
            <w:r w:rsidRPr="00B11EFC">
              <w:rPr>
                <w:rFonts w:ascii="Times New Roman" w:eastAsia="Times New Roman" w:hAnsi="Times New Roman" w:cs="Times New Roman"/>
                <w:kern w:val="0"/>
                <w:lang w:val="en-US" w:eastAsia="hr-HR"/>
                <w14:ligatures w14:val="none"/>
              </w:rPr>
              <w:t>0,00</w:t>
            </w:r>
          </w:p>
        </w:tc>
        <w:tc>
          <w:tcPr>
            <w:tcW w:w="1961" w:type="dxa"/>
            <w:tcBorders>
              <w:top w:val="nil"/>
              <w:left w:val="nil"/>
              <w:bottom w:val="single" w:sz="4" w:space="0" w:color="auto"/>
              <w:right w:val="single" w:sz="4" w:space="0" w:color="auto"/>
            </w:tcBorders>
            <w:noWrap/>
            <w:vAlign w:val="center"/>
          </w:tcPr>
          <w:p w14:paraId="380D1C6A" w14:textId="77777777" w:rsidR="00B11EFC" w:rsidRPr="00B11EFC" w:rsidRDefault="00B11EFC" w:rsidP="00B11EFC">
            <w:pPr>
              <w:spacing w:after="0" w:line="240" w:lineRule="auto"/>
              <w:jc w:val="right"/>
              <w:rPr>
                <w:rFonts w:ascii="Times New Roman" w:eastAsia="Times New Roman" w:hAnsi="Times New Roman" w:cs="Times New Roman"/>
                <w:kern w:val="0"/>
                <w:lang w:val="en-US" w:eastAsia="hr-HR"/>
                <w14:ligatures w14:val="none"/>
              </w:rPr>
            </w:pPr>
            <w:r w:rsidRPr="00B11EFC">
              <w:rPr>
                <w:rFonts w:ascii="Times New Roman" w:eastAsia="Times New Roman" w:hAnsi="Times New Roman" w:cs="Times New Roman"/>
                <w:kern w:val="0"/>
                <w:lang w:val="en-US" w:eastAsia="hr-HR"/>
                <w14:ligatures w14:val="none"/>
              </w:rPr>
              <w:t>0,00</w:t>
            </w:r>
          </w:p>
        </w:tc>
        <w:tc>
          <w:tcPr>
            <w:tcW w:w="1795" w:type="dxa"/>
            <w:tcBorders>
              <w:top w:val="nil"/>
              <w:left w:val="nil"/>
              <w:bottom w:val="single" w:sz="4" w:space="0" w:color="auto"/>
              <w:right w:val="single" w:sz="4" w:space="0" w:color="auto"/>
            </w:tcBorders>
            <w:noWrap/>
            <w:vAlign w:val="center"/>
          </w:tcPr>
          <w:p w14:paraId="6A07EFFD" w14:textId="77777777" w:rsidR="00B11EFC" w:rsidRPr="00B11EFC" w:rsidRDefault="00B11EFC" w:rsidP="00B11EFC">
            <w:pPr>
              <w:spacing w:after="0" w:line="240" w:lineRule="auto"/>
              <w:jc w:val="right"/>
              <w:rPr>
                <w:rFonts w:ascii="Times New Roman" w:eastAsia="Times New Roman" w:hAnsi="Times New Roman" w:cs="Times New Roman"/>
                <w:kern w:val="0"/>
                <w:lang w:val="en-US" w:eastAsia="hr-HR"/>
                <w14:ligatures w14:val="none"/>
              </w:rPr>
            </w:pPr>
            <w:r w:rsidRPr="00B11EFC">
              <w:rPr>
                <w:rFonts w:ascii="Times New Roman" w:eastAsia="Times New Roman" w:hAnsi="Times New Roman" w:cs="Times New Roman"/>
                <w:kern w:val="0"/>
                <w:lang w:val="en-US" w:eastAsia="hr-HR"/>
                <w14:ligatures w14:val="none"/>
              </w:rPr>
              <w:t>0,00</w:t>
            </w:r>
          </w:p>
        </w:tc>
        <w:tc>
          <w:tcPr>
            <w:tcW w:w="1134" w:type="dxa"/>
            <w:tcBorders>
              <w:top w:val="nil"/>
              <w:left w:val="nil"/>
              <w:bottom w:val="single" w:sz="4" w:space="0" w:color="auto"/>
              <w:right w:val="single" w:sz="4" w:space="0" w:color="auto"/>
            </w:tcBorders>
            <w:noWrap/>
            <w:vAlign w:val="center"/>
          </w:tcPr>
          <w:p w14:paraId="4D8EA2D0" w14:textId="77777777" w:rsidR="00B11EFC" w:rsidRPr="00B11EFC" w:rsidRDefault="00B11EFC" w:rsidP="00B11EFC">
            <w:pPr>
              <w:spacing w:after="0" w:line="240" w:lineRule="auto"/>
              <w:jc w:val="right"/>
              <w:rPr>
                <w:rFonts w:ascii="Times New Roman" w:eastAsia="Times New Roman" w:hAnsi="Times New Roman" w:cs="Times New Roman"/>
                <w:kern w:val="0"/>
                <w:lang w:eastAsia="hr-HR"/>
                <w14:ligatures w14:val="none"/>
              </w:rPr>
            </w:pPr>
            <w:r w:rsidRPr="00B11EFC">
              <w:rPr>
                <w:rFonts w:ascii="Times New Roman" w:eastAsia="Times New Roman" w:hAnsi="Times New Roman" w:cs="Times New Roman"/>
                <w:kern w:val="0"/>
                <w:lang w:val="en-US" w:eastAsia="hr-HR"/>
                <w14:ligatures w14:val="none"/>
              </w:rPr>
              <w:t>0,0</w:t>
            </w:r>
            <w:r w:rsidRPr="00B11EFC">
              <w:rPr>
                <w:rFonts w:ascii="Times New Roman" w:eastAsia="Times New Roman" w:hAnsi="Times New Roman" w:cs="Times New Roman"/>
                <w:kern w:val="0"/>
                <w:lang w:eastAsia="hr-HR"/>
                <w14:ligatures w14:val="none"/>
              </w:rPr>
              <w:t>0</w:t>
            </w:r>
          </w:p>
        </w:tc>
        <w:tc>
          <w:tcPr>
            <w:tcW w:w="1260" w:type="dxa"/>
            <w:tcBorders>
              <w:top w:val="nil"/>
              <w:left w:val="nil"/>
              <w:bottom w:val="single" w:sz="4" w:space="0" w:color="auto"/>
              <w:right w:val="single" w:sz="4" w:space="0" w:color="auto"/>
            </w:tcBorders>
            <w:noWrap/>
            <w:vAlign w:val="center"/>
          </w:tcPr>
          <w:p w14:paraId="7408E099" w14:textId="77777777" w:rsidR="00B11EFC" w:rsidRPr="00B11EFC" w:rsidRDefault="00B11EFC" w:rsidP="00B11EFC">
            <w:pPr>
              <w:spacing w:after="0" w:line="240" w:lineRule="auto"/>
              <w:jc w:val="right"/>
              <w:rPr>
                <w:rFonts w:ascii="Times New Roman" w:eastAsia="Times New Roman" w:hAnsi="Times New Roman" w:cs="Times New Roman"/>
                <w:kern w:val="0"/>
                <w:lang w:val="en-US" w:eastAsia="hr-HR"/>
                <w14:ligatures w14:val="none"/>
              </w:rPr>
            </w:pPr>
            <w:r w:rsidRPr="00B11EFC">
              <w:rPr>
                <w:rFonts w:ascii="Times New Roman" w:eastAsia="Times New Roman" w:hAnsi="Times New Roman" w:cs="Times New Roman"/>
                <w:kern w:val="0"/>
                <w:lang w:val="en-US" w:eastAsia="hr-HR"/>
                <w14:ligatures w14:val="none"/>
              </w:rPr>
              <w:t>0,0</w:t>
            </w:r>
          </w:p>
        </w:tc>
        <w:tc>
          <w:tcPr>
            <w:tcW w:w="935" w:type="dxa"/>
            <w:tcBorders>
              <w:top w:val="nil"/>
              <w:left w:val="nil"/>
              <w:bottom w:val="single" w:sz="4" w:space="0" w:color="auto"/>
              <w:right w:val="single" w:sz="4" w:space="0" w:color="auto"/>
            </w:tcBorders>
            <w:noWrap/>
            <w:vAlign w:val="center"/>
          </w:tcPr>
          <w:p w14:paraId="139D4206" w14:textId="77777777" w:rsidR="00B11EFC" w:rsidRPr="00B11EFC" w:rsidRDefault="00B11EFC" w:rsidP="00B11EFC">
            <w:pPr>
              <w:spacing w:after="0" w:line="240" w:lineRule="auto"/>
              <w:jc w:val="right"/>
              <w:rPr>
                <w:rFonts w:ascii="Times New Roman" w:eastAsia="Times New Roman" w:hAnsi="Times New Roman" w:cs="Times New Roman"/>
                <w:kern w:val="0"/>
                <w:lang w:val="en-US" w:eastAsia="hr-HR"/>
                <w14:ligatures w14:val="none"/>
              </w:rPr>
            </w:pPr>
            <w:r w:rsidRPr="00B11EFC">
              <w:rPr>
                <w:rFonts w:ascii="Times New Roman" w:eastAsia="Times New Roman" w:hAnsi="Times New Roman" w:cs="Times New Roman"/>
                <w:kern w:val="0"/>
                <w:lang w:val="en-US" w:eastAsia="hr-HR"/>
                <w14:ligatures w14:val="none"/>
              </w:rPr>
              <w:t>-</w:t>
            </w:r>
          </w:p>
        </w:tc>
      </w:tr>
      <w:tr w:rsidR="00B11EFC" w:rsidRPr="00B11EFC" w14:paraId="4A6D0CC7" w14:textId="77777777" w:rsidTr="00B11EFC">
        <w:trPr>
          <w:trHeight w:val="344"/>
          <w:jc w:val="center"/>
        </w:trPr>
        <w:tc>
          <w:tcPr>
            <w:tcW w:w="2405" w:type="dxa"/>
            <w:tcBorders>
              <w:top w:val="nil"/>
              <w:left w:val="single" w:sz="4" w:space="0" w:color="auto"/>
              <w:bottom w:val="single" w:sz="4" w:space="0" w:color="auto"/>
              <w:right w:val="single" w:sz="4" w:space="0" w:color="auto"/>
            </w:tcBorders>
            <w:vAlign w:val="center"/>
          </w:tcPr>
          <w:p w14:paraId="3391D399" w14:textId="77777777" w:rsidR="00B11EFC" w:rsidRPr="00B11EFC" w:rsidRDefault="00B11EFC" w:rsidP="00B11EFC">
            <w:pPr>
              <w:spacing w:after="0" w:line="240" w:lineRule="auto"/>
              <w:rPr>
                <w:rFonts w:ascii="Times New Roman" w:eastAsia="Times New Roman" w:hAnsi="Times New Roman" w:cs="Times New Roman"/>
                <w:b/>
                <w:kern w:val="0"/>
                <w:lang w:eastAsia="hr-HR"/>
                <w14:ligatures w14:val="none"/>
              </w:rPr>
            </w:pPr>
            <w:r w:rsidRPr="00B11EFC">
              <w:rPr>
                <w:rFonts w:ascii="Times New Roman" w:eastAsia="Times New Roman" w:hAnsi="Times New Roman" w:cs="Times New Roman"/>
                <w:b/>
                <w:kern w:val="0"/>
                <w:lang w:eastAsia="hr-HR"/>
                <w14:ligatures w14:val="none"/>
              </w:rPr>
              <w:t>UKUPNO PRIHODI:</w:t>
            </w:r>
          </w:p>
        </w:tc>
        <w:tc>
          <w:tcPr>
            <w:tcW w:w="1502" w:type="dxa"/>
            <w:tcBorders>
              <w:top w:val="nil"/>
              <w:left w:val="nil"/>
              <w:bottom w:val="single" w:sz="4" w:space="0" w:color="auto"/>
              <w:right w:val="single" w:sz="4" w:space="0" w:color="auto"/>
            </w:tcBorders>
            <w:noWrap/>
            <w:vAlign w:val="center"/>
          </w:tcPr>
          <w:p w14:paraId="7C6F6C78" w14:textId="77777777" w:rsidR="00B11EFC" w:rsidRPr="00B11EFC" w:rsidRDefault="00B11EFC" w:rsidP="00B11EFC">
            <w:pPr>
              <w:wordWrap w:val="0"/>
              <w:spacing w:after="0" w:line="240" w:lineRule="auto"/>
              <w:jc w:val="right"/>
              <w:rPr>
                <w:rFonts w:ascii="Times New Roman" w:eastAsia="Times New Roman" w:hAnsi="Times New Roman" w:cs="Times New Roman"/>
                <w:b/>
                <w:bCs/>
                <w:kern w:val="0"/>
                <w:lang w:eastAsia="hr-HR"/>
                <w14:ligatures w14:val="none"/>
              </w:rPr>
            </w:pPr>
            <w:r w:rsidRPr="00B11EFC">
              <w:rPr>
                <w:rFonts w:ascii="Times New Roman" w:eastAsia="Times New Roman" w:hAnsi="Times New Roman" w:cs="Times New Roman"/>
                <w:b/>
                <w:bCs/>
                <w:kern w:val="0"/>
                <w:lang w:eastAsia="hr-HR"/>
                <w14:ligatures w14:val="none"/>
              </w:rPr>
              <w:t>388.850,51</w:t>
            </w:r>
          </w:p>
        </w:tc>
        <w:tc>
          <w:tcPr>
            <w:tcW w:w="1961" w:type="dxa"/>
            <w:tcBorders>
              <w:top w:val="nil"/>
              <w:left w:val="nil"/>
              <w:bottom w:val="single" w:sz="4" w:space="0" w:color="auto"/>
              <w:right w:val="single" w:sz="4" w:space="0" w:color="auto"/>
            </w:tcBorders>
            <w:noWrap/>
            <w:vAlign w:val="center"/>
          </w:tcPr>
          <w:p w14:paraId="59A13A44" w14:textId="77777777" w:rsidR="00B11EFC" w:rsidRPr="00B11EFC" w:rsidRDefault="00B11EFC" w:rsidP="00B11EFC">
            <w:pPr>
              <w:wordWrap w:val="0"/>
              <w:spacing w:after="0" w:line="240" w:lineRule="auto"/>
              <w:jc w:val="right"/>
              <w:rPr>
                <w:rFonts w:ascii="Times New Roman" w:eastAsia="Times New Roman" w:hAnsi="Times New Roman" w:cs="Times New Roman"/>
                <w:b/>
                <w:bCs/>
                <w:kern w:val="0"/>
                <w:lang w:eastAsia="hr-HR"/>
                <w14:ligatures w14:val="none"/>
              </w:rPr>
            </w:pPr>
            <w:r w:rsidRPr="00B11EFC">
              <w:rPr>
                <w:rFonts w:ascii="Times New Roman" w:eastAsia="Times New Roman" w:hAnsi="Times New Roman" w:cs="Times New Roman"/>
                <w:b/>
                <w:bCs/>
                <w:kern w:val="0"/>
                <w:lang w:eastAsia="hr-HR"/>
                <w14:ligatures w14:val="none"/>
              </w:rPr>
              <w:t>509.680,00</w:t>
            </w:r>
          </w:p>
        </w:tc>
        <w:tc>
          <w:tcPr>
            <w:tcW w:w="1795" w:type="dxa"/>
            <w:tcBorders>
              <w:top w:val="nil"/>
              <w:left w:val="nil"/>
              <w:bottom w:val="single" w:sz="4" w:space="0" w:color="auto"/>
              <w:right w:val="single" w:sz="4" w:space="0" w:color="auto"/>
            </w:tcBorders>
            <w:noWrap/>
            <w:vAlign w:val="center"/>
          </w:tcPr>
          <w:p w14:paraId="19453A84" w14:textId="77777777" w:rsidR="00B11EFC" w:rsidRPr="00B11EFC" w:rsidRDefault="00B11EFC" w:rsidP="00B11EFC">
            <w:pPr>
              <w:wordWrap w:val="0"/>
              <w:spacing w:after="0" w:line="240" w:lineRule="auto"/>
              <w:jc w:val="right"/>
              <w:rPr>
                <w:rFonts w:ascii="Times New Roman" w:eastAsia="Times New Roman" w:hAnsi="Times New Roman" w:cs="Times New Roman"/>
                <w:b/>
                <w:bCs/>
                <w:kern w:val="0"/>
                <w:lang w:eastAsia="hr-HR"/>
                <w14:ligatures w14:val="none"/>
              </w:rPr>
            </w:pPr>
            <w:r w:rsidRPr="00B11EFC">
              <w:rPr>
                <w:rFonts w:ascii="Times New Roman" w:eastAsia="Times New Roman" w:hAnsi="Times New Roman" w:cs="Times New Roman"/>
                <w:b/>
                <w:bCs/>
                <w:kern w:val="0"/>
                <w:lang w:eastAsia="hr-HR"/>
                <w14:ligatures w14:val="none"/>
              </w:rPr>
              <w:t>535.738,67</w:t>
            </w:r>
          </w:p>
        </w:tc>
        <w:tc>
          <w:tcPr>
            <w:tcW w:w="1134" w:type="dxa"/>
            <w:tcBorders>
              <w:top w:val="nil"/>
              <w:left w:val="nil"/>
              <w:bottom w:val="single" w:sz="4" w:space="0" w:color="auto"/>
              <w:right w:val="single" w:sz="4" w:space="0" w:color="auto"/>
            </w:tcBorders>
            <w:noWrap/>
            <w:vAlign w:val="center"/>
          </w:tcPr>
          <w:p w14:paraId="0FE29E71" w14:textId="77777777" w:rsidR="00B11EFC" w:rsidRPr="00B11EFC" w:rsidRDefault="00B11EFC" w:rsidP="00B11EFC">
            <w:pPr>
              <w:spacing w:after="0" w:line="240" w:lineRule="auto"/>
              <w:jc w:val="right"/>
              <w:rPr>
                <w:rFonts w:ascii="Times New Roman" w:eastAsia="Times New Roman" w:hAnsi="Times New Roman" w:cs="Times New Roman"/>
                <w:b/>
                <w:bCs/>
                <w:kern w:val="0"/>
                <w:lang w:val="en-US" w:eastAsia="hr-HR"/>
                <w14:ligatures w14:val="none"/>
              </w:rPr>
            </w:pPr>
            <w:r w:rsidRPr="00B11EFC">
              <w:rPr>
                <w:rFonts w:ascii="Times New Roman" w:eastAsia="Times New Roman" w:hAnsi="Times New Roman" w:cs="Times New Roman"/>
                <w:b/>
                <w:bCs/>
                <w:kern w:val="0"/>
                <w:lang w:val="en-US" w:eastAsia="hr-HR"/>
                <w14:ligatures w14:val="none"/>
              </w:rPr>
              <w:t>100</w:t>
            </w:r>
            <w:r w:rsidRPr="00B11EFC">
              <w:rPr>
                <w:rFonts w:ascii="Times New Roman" w:eastAsia="Times New Roman" w:hAnsi="Times New Roman" w:cs="Times New Roman"/>
                <w:b/>
                <w:bCs/>
                <w:kern w:val="0"/>
                <w:lang w:eastAsia="hr-HR"/>
                <w14:ligatures w14:val="none"/>
              </w:rPr>
              <w:t>,00</w:t>
            </w:r>
            <w:r w:rsidRPr="00B11EFC">
              <w:rPr>
                <w:rFonts w:ascii="Times New Roman" w:eastAsia="Times New Roman" w:hAnsi="Times New Roman" w:cs="Times New Roman"/>
                <w:b/>
                <w:bCs/>
                <w:kern w:val="0"/>
                <w:lang w:val="en-US" w:eastAsia="hr-HR"/>
                <w14:ligatures w14:val="none"/>
              </w:rPr>
              <w:t>%</w:t>
            </w:r>
          </w:p>
        </w:tc>
        <w:tc>
          <w:tcPr>
            <w:tcW w:w="1260" w:type="dxa"/>
            <w:tcBorders>
              <w:top w:val="nil"/>
              <w:left w:val="nil"/>
              <w:bottom w:val="single" w:sz="4" w:space="0" w:color="auto"/>
              <w:right w:val="single" w:sz="4" w:space="0" w:color="auto"/>
            </w:tcBorders>
            <w:noWrap/>
            <w:vAlign w:val="center"/>
          </w:tcPr>
          <w:p w14:paraId="03E50948" w14:textId="09DCEA09" w:rsidR="00B11EFC" w:rsidRPr="00B11EFC" w:rsidRDefault="00E93541" w:rsidP="00B11EFC">
            <w:pPr>
              <w:spacing w:after="0" w:line="240" w:lineRule="auto"/>
              <w:jc w:val="right"/>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105</w:t>
            </w:r>
            <w:r w:rsidR="00B11EFC" w:rsidRPr="00B11EFC">
              <w:rPr>
                <w:rFonts w:ascii="Times New Roman" w:eastAsia="Times New Roman" w:hAnsi="Times New Roman" w:cs="Times New Roman"/>
                <w:b/>
                <w:bCs/>
                <w:kern w:val="0"/>
                <w:lang w:eastAsia="hr-HR"/>
                <w14:ligatures w14:val="none"/>
              </w:rPr>
              <w:t>,11%</w:t>
            </w:r>
          </w:p>
        </w:tc>
        <w:tc>
          <w:tcPr>
            <w:tcW w:w="935" w:type="dxa"/>
            <w:tcBorders>
              <w:top w:val="nil"/>
              <w:left w:val="nil"/>
              <w:bottom w:val="single" w:sz="4" w:space="0" w:color="auto"/>
              <w:right w:val="single" w:sz="4" w:space="0" w:color="auto"/>
            </w:tcBorders>
            <w:noWrap/>
            <w:vAlign w:val="center"/>
          </w:tcPr>
          <w:p w14:paraId="04A1B36D" w14:textId="77777777" w:rsidR="00B11EFC" w:rsidRPr="00B11EFC" w:rsidRDefault="00B11EFC" w:rsidP="00B11EFC">
            <w:pPr>
              <w:spacing w:after="0" w:line="240" w:lineRule="auto"/>
              <w:jc w:val="right"/>
              <w:rPr>
                <w:rFonts w:ascii="Times New Roman" w:eastAsia="Times New Roman" w:hAnsi="Times New Roman" w:cs="Times New Roman"/>
                <w:b/>
                <w:bCs/>
                <w:kern w:val="0"/>
                <w:lang w:eastAsia="hr-HR"/>
                <w14:ligatures w14:val="none"/>
              </w:rPr>
            </w:pPr>
            <w:r w:rsidRPr="00B11EFC">
              <w:rPr>
                <w:rFonts w:ascii="Times New Roman" w:eastAsia="Times New Roman" w:hAnsi="Times New Roman" w:cs="Times New Roman"/>
                <w:b/>
                <w:bCs/>
                <w:kern w:val="0"/>
                <w:lang w:eastAsia="hr-HR"/>
                <w14:ligatures w14:val="none"/>
              </w:rPr>
              <w:t>37,77</w:t>
            </w:r>
          </w:p>
        </w:tc>
      </w:tr>
    </w:tbl>
    <w:p w14:paraId="7103DF57" w14:textId="170E9078" w:rsidR="00B11EFC" w:rsidRDefault="00B11EFC">
      <w:r>
        <w:rPr>
          <w:noProof/>
          <w:lang w:val="en-US"/>
        </w:rPr>
        <w:lastRenderedPageBreak/>
        <w:drawing>
          <wp:anchor distT="0" distB="0" distL="114300" distR="114300" simplePos="0" relativeHeight="251658240" behindDoc="0" locked="0" layoutInCell="1" allowOverlap="1" wp14:anchorId="4AF0DD1E" wp14:editId="7AF1AF50">
            <wp:simplePos x="0" y="0"/>
            <wp:positionH relativeFrom="margin">
              <wp:align>center</wp:align>
            </wp:positionH>
            <wp:positionV relativeFrom="paragraph">
              <wp:posOffset>-635</wp:posOffset>
            </wp:positionV>
            <wp:extent cx="5173980" cy="2926080"/>
            <wp:effectExtent l="0" t="0" r="7620" b="7620"/>
            <wp:wrapNone/>
            <wp:docPr id="1398268954"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1B747D16" w14:textId="77777777" w:rsidR="008F2553" w:rsidRPr="008F2553" w:rsidRDefault="008F2553" w:rsidP="008F2553"/>
    <w:p w14:paraId="23D7BAA0" w14:textId="77777777" w:rsidR="008F2553" w:rsidRPr="008F2553" w:rsidRDefault="008F2553" w:rsidP="008F2553"/>
    <w:p w14:paraId="1CC88FB7" w14:textId="380DECF5" w:rsidR="008F2553" w:rsidRPr="008F2553" w:rsidRDefault="008F2553" w:rsidP="008F2553"/>
    <w:p w14:paraId="4D91A2D3" w14:textId="77777777" w:rsidR="008F2553" w:rsidRPr="008F2553" w:rsidRDefault="008F2553" w:rsidP="008F2553"/>
    <w:p w14:paraId="5F6DED68" w14:textId="3D32442F" w:rsidR="008F2553" w:rsidRPr="008F2553" w:rsidRDefault="008F2553" w:rsidP="008F2553"/>
    <w:p w14:paraId="19122135" w14:textId="0A4C0669" w:rsidR="008F2553" w:rsidRPr="008F2553" w:rsidRDefault="008F2553" w:rsidP="008F2553"/>
    <w:p w14:paraId="3409440E" w14:textId="4CCDAA62" w:rsidR="008F2553" w:rsidRPr="008F2553" w:rsidRDefault="008F2553" w:rsidP="008F2553"/>
    <w:p w14:paraId="11A39636" w14:textId="77777777" w:rsidR="008F2553" w:rsidRPr="008F2553" w:rsidRDefault="008F2553" w:rsidP="008F2553"/>
    <w:p w14:paraId="6FF391D6" w14:textId="77777777" w:rsidR="008F2553" w:rsidRDefault="008F2553" w:rsidP="008F2553"/>
    <w:p w14:paraId="678775FA" w14:textId="77777777" w:rsidR="008F2553" w:rsidRPr="008F2553" w:rsidRDefault="008F2553" w:rsidP="008F2553">
      <w:pPr>
        <w:spacing w:after="0" w:line="360" w:lineRule="auto"/>
        <w:jc w:val="both"/>
        <w:rPr>
          <w:rFonts w:ascii="Times New Roman" w:eastAsia="SimSun" w:hAnsi="Times New Roman" w:cs="Times New Roman"/>
          <w:b/>
          <w:bCs/>
          <w:kern w:val="0"/>
          <w:lang w:eastAsia="hr-HR"/>
          <w14:ligatures w14:val="none"/>
        </w:rPr>
      </w:pPr>
      <w:r w:rsidRPr="008F2553">
        <w:rPr>
          <w:rFonts w:ascii="Times New Roman" w:eastAsia="SimSun" w:hAnsi="Times New Roman" w:cs="Times New Roman"/>
          <w:b/>
          <w:bCs/>
          <w:kern w:val="0"/>
          <w:lang w:eastAsia="hr-HR"/>
          <w14:ligatures w14:val="none"/>
        </w:rPr>
        <w:t>PRIHODI POSLOVANJA</w:t>
      </w:r>
    </w:p>
    <w:p w14:paraId="52C5DA6D" w14:textId="67696338" w:rsidR="008F2553" w:rsidRPr="008F2553" w:rsidRDefault="008F2553" w:rsidP="008F2553">
      <w:pPr>
        <w:spacing w:after="0" w:line="360" w:lineRule="auto"/>
        <w:jc w:val="both"/>
        <w:rPr>
          <w:rFonts w:ascii="Times New Roman" w:eastAsia="SimSun" w:hAnsi="Times New Roman" w:cs="Times New Roman"/>
          <w:b/>
          <w:bCs/>
          <w:i/>
          <w:iCs/>
          <w:kern w:val="0"/>
          <w:lang w:eastAsia="hr-HR"/>
          <w14:ligatures w14:val="none"/>
        </w:rPr>
      </w:pPr>
    </w:p>
    <w:tbl>
      <w:tblPr>
        <w:tblW w:w="8753" w:type="dxa"/>
        <w:tblInd w:w="142" w:type="dxa"/>
        <w:tblLook w:val="0000" w:firstRow="0" w:lastRow="0" w:firstColumn="0" w:lastColumn="0" w:noHBand="0" w:noVBand="0"/>
      </w:tblPr>
      <w:tblGrid>
        <w:gridCol w:w="4961"/>
        <w:gridCol w:w="2670"/>
        <w:gridCol w:w="1122"/>
      </w:tblGrid>
      <w:tr w:rsidR="008F2553" w:rsidRPr="008F2553" w14:paraId="430D0DB6" w14:textId="77777777" w:rsidTr="008F2553">
        <w:trPr>
          <w:trHeight w:val="360"/>
        </w:trPr>
        <w:tc>
          <w:tcPr>
            <w:tcW w:w="4961" w:type="dxa"/>
            <w:tcBorders>
              <w:top w:val="nil"/>
              <w:left w:val="nil"/>
              <w:bottom w:val="nil"/>
              <w:right w:val="nil"/>
            </w:tcBorders>
            <w:noWrap/>
            <w:vAlign w:val="center"/>
          </w:tcPr>
          <w:p w14:paraId="0B5962F0" w14:textId="77777777" w:rsidR="008F2553" w:rsidRPr="008F2553" w:rsidRDefault="008F2553" w:rsidP="008F2553">
            <w:pPr>
              <w:spacing w:after="0" w:line="240" w:lineRule="auto"/>
              <w:rPr>
                <w:rFonts w:ascii="Times New Roman" w:eastAsia="SimSun" w:hAnsi="Times New Roman" w:cs="Times New Roman"/>
                <w:kern w:val="0"/>
                <w:sz w:val="22"/>
                <w:szCs w:val="22"/>
                <w:lang w:eastAsia="hr-HR"/>
                <w14:ligatures w14:val="none"/>
              </w:rPr>
            </w:pPr>
            <w:r w:rsidRPr="008F2553">
              <w:rPr>
                <w:rFonts w:ascii="Times New Roman" w:eastAsia="SimSun" w:hAnsi="Times New Roman" w:cs="Times New Roman"/>
                <w:kern w:val="0"/>
                <w:sz w:val="22"/>
                <w:szCs w:val="22"/>
                <w:lang w:eastAsia="hr-HR"/>
                <w14:ligatures w14:val="none"/>
              </w:rPr>
              <w:t xml:space="preserve">Pomoći iz inozemstva i od subjekata unutar općeg proračuna                          </w:t>
            </w:r>
          </w:p>
        </w:tc>
        <w:tc>
          <w:tcPr>
            <w:tcW w:w="2670" w:type="dxa"/>
            <w:tcBorders>
              <w:top w:val="nil"/>
              <w:left w:val="nil"/>
              <w:bottom w:val="nil"/>
              <w:right w:val="nil"/>
            </w:tcBorders>
            <w:noWrap/>
          </w:tcPr>
          <w:p w14:paraId="7F3554C5" w14:textId="5A3A5DF5" w:rsidR="008F2553" w:rsidRPr="008F2553" w:rsidRDefault="008F2553" w:rsidP="008F2553">
            <w:pPr>
              <w:spacing w:after="0" w:line="240" w:lineRule="auto"/>
              <w:jc w:val="right"/>
              <w:rPr>
                <w:rFonts w:ascii="Times New Roman" w:eastAsia="SimSun" w:hAnsi="Times New Roman" w:cs="Times New Roman"/>
                <w:kern w:val="0"/>
                <w:lang w:eastAsia="hr-HR"/>
                <w14:ligatures w14:val="none"/>
              </w:rPr>
            </w:pPr>
          </w:p>
          <w:p w14:paraId="3C0203A0" w14:textId="1AD8937F" w:rsidR="008F2553" w:rsidRPr="008F2553" w:rsidRDefault="008F2553" w:rsidP="008F2553">
            <w:pPr>
              <w:spacing w:after="0" w:line="240" w:lineRule="auto"/>
              <w:jc w:val="right"/>
              <w:rPr>
                <w:rFonts w:ascii="Times New Roman" w:eastAsia="SimSun" w:hAnsi="Times New Roman" w:cs="Times New Roman"/>
                <w:kern w:val="0"/>
                <w:lang w:eastAsia="hr-HR"/>
                <w14:ligatures w14:val="none"/>
              </w:rPr>
            </w:pPr>
            <w:r w:rsidRPr="008F2553">
              <w:rPr>
                <w:rFonts w:ascii="Times New Roman" w:eastAsia="SimSun" w:hAnsi="Times New Roman" w:cs="Times New Roman"/>
                <w:kern w:val="0"/>
                <w:lang w:eastAsia="hr-HR"/>
                <w14:ligatures w14:val="none"/>
              </w:rPr>
              <w:t xml:space="preserve">                </w:t>
            </w:r>
            <w:r>
              <w:rPr>
                <w:rFonts w:ascii="Times New Roman" w:eastAsia="SimSun" w:hAnsi="Times New Roman" w:cs="Times New Roman"/>
                <w:kern w:val="0"/>
                <w:lang w:eastAsia="hr-HR"/>
                <w14:ligatures w14:val="none"/>
              </w:rPr>
              <w:t xml:space="preserve">     489,60</w:t>
            </w:r>
          </w:p>
        </w:tc>
        <w:tc>
          <w:tcPr>
            <w:tcW w:w="1122" w:type="dxa"/>
            <w:tcBorders>
              <w:top w:val="nil"/>
              <w:left w:val="nil"/>
              <w:bottom w:val="nil"/>
              <w:right w:val="nil"/>
            </w:tcBorders>
            <w:noWrap/>
            <w:vAlign w:val="center"/>
          </w:tcPr>
          <w:p w14:paraId="3451E6EB" w14:textId="77777777" w:rsidR="008F2553" w:rsidRPr="008F2553" w:rsidRDefault="008F2553" w:rsidP="008F2553">
            <w:pPr>
              <w:spacing w:after="0" w:line="240" w:lineRule="auto"/>
              <w:jc w:val="right"/>
              <w:textAlignment w:val="center"/>
              <w:rPr>
                <w:rFonts w:ascii="Times New Roman" w:eastAsia="SimSun" w:hAnsi="Times New Roman" w:cs="Times New Roman"/>
                <w:kern w:val="0"/>
                <w:sz w:val="22"/>
                <w:szCs w:val="22"/>
                <w:lang w:eastAsia="hr-HR"/>
                <w14:ligatures w14:val="none"/>
              </w:rPr>
            </w:pPr>
          </w:p>
          <w:p w14:paraId="45149E63" w14:textId="7E0085D3" w:rsidR="008F2553" w:rsidRPr="008F2553" w:rsidRDefault="008F2553" w:rsidP="008F2553">
            <w:pPr>
              <w:spacing w:after="0" w:line="240" w:lineRule="auto"/>
              <w:jc w:val="right"/>
              <w:textAlignment w:val="center"/>
              <w:rPr>
                <w:rFonts w:ascii="Times New Roman" w:eastAsia="SimSun" w:hAnsi="Times New Roman" w:cs="Times New Roman"/>
                <w:kern w:val="0"/>
                <w:sz w:val="22"/>
                <w:szCs w:val="22"/>
                <w:lang w:eastAsia="hr-HR"/>
                <w14:ligatures w14:val="none"/>
              </w:rPr>
            </w:pPr>
            <w:r w:rsidRPr="008F2553">
              <w:rPr>
                <w:rFonts w:ascii="Times New Roman" w:eastAsia="SimSun" w:hAnsi="Times New Roman" w:cs="Times New Roman"/>
                <w:kern w:val="0"/>
                <w:sz w:val="22"/>
                <w:szCs w:val="22"/>
                <w:lang w:eastAsia="hr-HR"/>
                <w14:ligatures w14:val="none"/>
              </w:rPr>
              <w:t>0,</w:t>
            </w:r>
            <w:r>
              <w:rPr>
                <w:rFonts w:ascii="Times New Roman" w:eastAsia="SimSun" w:hAnsi="Times New Roman" w:cs="Times New Roman"/>
                <w:kern w:val="0"/>
                <w:sz w:val="22"/>
                <w:szCs w:val="22"/>
                <w:lang w:eastAsia="hr-HR"/>
                <w14:ligatures w14:val="none"/>
              </w:rPr>
              <w:t>09</w:t>
            </w:r>
            <w:r w:rsidRPr="008F2553">
              <w:rPr>
                <w:rFonts w:ascii="Times New Roman" w:eastAsia="SimSun" w:hAnsi="Times New Roman" w:cs="Times New Roman"/>
                <w:kern w:val="0"/>
                <w:sz w:val="22"/>
                <w:szCs w:val="22"/>
                <w:lang w:eastAsia="hr-HR"/>
                <w14:ligatures w14:val="none"/>
              </w:rPr>
              <w:t xml:space="preserve"> %</w:t>
            </w:r>
          </w:p>
        </w:tc>
      </w:tr>
      <w:tr w:rsidR="008F2553" w:rsidRPr="008F2553" w14:paraId="691678AE" w14:textId="77777777" w:rsidTr="008F2553">
        <w:trPr>
          <w:trHeight w:val="360"/>
        </w:trPr>
        <w:tc>
          <w:tcPr>
            <w:tcW w:w="4961" w:type="dxa"/>
            <w:tcBorders>
              <w:top w:val="nil"/>
              <w:left w:val="nil"/>
              <w:bottom w:val="nil"/>
              <w:right w:val="nil"/>
            </w:tcBorders>
            <w:noWrap/>
            <w:vAlign w:val="center"/>
          </w:tcPr>
          <w:p w14:paraId="66D3DF79" w14:textId="77777777" w:rsidR="008F2553" w:rsidRPr="008F2553" w:rsidRDefault="008F2553" w:rsidP="008F2553">
            <w:pPr>
              <w:spacing w:after="0" w:line="240" w:lineRule="auto"/>
              <w:rPr>
                <w:rFonts w:ascii="Times New Roman" w:eastAsia="SimSun" w:hAnsi="Times New Roman" w:cs="Times New Roman"/>
                <w:kern w:val="0"/>
                <w:sz w:val="22"/>
                <w:szCs w:val="22"/>
                <w:lang w:eastAsia="hr-HR"/>
                <w14:ligatures w14:val="none"/>
              </w:rPr>
            </w:pPr>
            <w:r w:rsidRPr="008F2553">
              <w:rPr>
                <w:rFonts w:ascii="Times New Roman" w:eastAsia="SimSun" w:hAnsi="Times New Roman" w:cs="Times New Roman"/>
                <w:kern w:val="0"/>
                <w:sz w:val="22"/>
                <w:szCs w:val="22"/>
                <w:lang w:eastAsia="hr-HR"/>
                <w14:ligatures w14:val="none"/>
              </w:rPr>
              <w:t>Prihodi od imovine</w:t>
            </w:r>
          </w:p>
        </w:tc>
        <w:tc>
          <w:tcPr>
            <w:tcW w:w="2670" w:type="dxa"/>
            <w:tcBorders>
              <w:top w:val="nil"/>
              <w:left w:val="nil"/>
              <w:bottom w:val="nil"/>
              <w:right w:val="nil"/>
            </w:tcBorders>
            <w:noWrap/>
          </w:tcPr>
          <w:p w14:paraId="6931156C" w14:textId="3E94394B" w:rsidR="008F2553" w:rsidRPr="008F2553" w:rsidRDefault="008F2553" w:rsidP="008F2553">
            <w:pPr>
              <w:spacing w:after="0" w:line="240" w:lineRule="auto"/>
              <w:jc w:val="right"/>
              <w:rPr>
                <w:rFonts w:ascii="Times New Roman" w:eastAsia="SimSun" w:hAnsi="Times New Roman" w:cs="Times New Roman"/>
                <w:kern w:val="0"/>
                <w:lang w:eastAsia="hr-HR"/>
                <w14:ligatures w14:val="none"/>
              </w:rPr>
            </w:pPr>
            <w:r w:rsidRPr="008F2553">
              <w:rPr>
                <w:rFonts w:ascii="Times New Roman" w:eastAsia="SimSun" w:hAnsi="Times New Roman" w:cs="Times New Roman"/>
                <w:kern w:val="0"/>
                <w:lang w:eastAsia="hr-HR"/>
                <w14:ligatures w14:val="none"/>
              </w:rPr>
              <w:t xml:space="preserve">                         </w:t>
            </w:r>
          </w:p>
          <w:p w14:paraId="1B0FC2BA" w14:textId="542DCB88" w:rsidR="008F2553" w:rsidRPr="008F2553" w:rsidRDefault="008F2553" w:rsidP="008F2553">
            <w:pPr>
              <w:spacing w:after="0" w:line="240" w:lineRule="auto"/>
              <w:jc w:val="right"/>
              <w:rPr>
                <w:rFonts w:ascii="Times New Roman" w:eastAsia="SimSun" w:hAnsi="Times New Roman" w:cs="Times New Roman"/>
                <w:kern w:val="0"/>
                <w:lang w:eastAsia="hr-HR"/>
                <w14:ligatures w14:val="none"/>
              </w:rPr>
            </w:pPr>
            <w:r w:rsidRPr="008F2553">
              <w:rPr>
                <w:rFonts w:ascii="Times New Roman" w:eastAsia="SimSun" w:hAnsi="Times New Roman" w:cs="Times New Roman"/>
                <w:kern w:val="0"/>
                <w:lang w:eastAsia="hr-HR"/>
                <w14:ligatures w14:val="none"/>
              </w:rPr>
              <w:t xml:space="preserve">                       </w:t>
            </w:r>
            <w:r>
              <w:rPr>
                <w:rFonts w:ascii="Times New Roman" w:eastAsia="SimSun" w:hAnsi="Times New Roman" w:cs="Times New Roman"/>
                <w:kern w:val="0"/>
                <w:lang w:eastAsia="hr-HR"/>
                <w14:ligatures w14:val="none"/>
              </w:rPr>
              <w:t xml:space="preserve">      </w:t>
            </w:r>
            <w:r w:rsidRPr="008F2553">
              <w:rPr>
                <w:rFonts w:ascii="Times New Roman" w:eastAsia="SimSun" w:hAnsi="Times New Roman" w:cs="Times New Roman"/>
                <w:kern w:val="0"/>
                <w:lang w:eastAsia="hr-HR"/>
                <w14:ligatures w14:val="none"/>
              </w:rPr>
              <w:t>0,05</w:t>
            </w:r>
          </w:p>
        </w:tc>
        <w:tc>
          <w:tcPr>
            <w:tcW w:w="1122" w:type="dxa"/>
            <w:tcBorders>
              <w:top w:val="nil"/>
              <w:left w:val="nil"/>
              <w:bottom w:val="nil"/>
              <w:right w:val="nil"/>
            </w:tcBorders>
            <w:noWrap/>
            <w:vAlign w:val="center"/>
          </w:tcPr>
          <w:p w14:paraId="46AE2207" w14:textId="77777777" w:rsidR="008F2553" w:rsidRPr="008F2553" w:rsidRDefault="008F2553" w:rsidP="008F2553">
            <w:pPr>
              <w:spacing w:after="0" w:line="240" w:lineRule="auto"/>
              <w:jc w:val="right"/>
              <w:textAlignment w:val="center"/>
              <w:rPr>
                <w:rFonts w:ascii="Times New Roman" w:eastAsia="SimSun" w:hAnsi="Times New Roman" w:cs="Times New Roman"/>
                <w:kern w:val="0"/>
                <w:sz w:val="22"/>
                <w:szCs w:val="22"/>
                <w:lang w:eastAsia="hr-HR"/>
                <w14:ligatures w14:val="none"/>
              </w:rPr>
            </w:pPr>
          </w:p>
          <w:p w14:paraId="215C32D2" w14:textId="77777777" w:rsidR="008F2553" w:rsidRPr="008F2553" w:rsidRDefault="008F2553" w:rsidP="008F2553">
            <w:pPr>
              <w:spacing w:after="0" w:line="240" w:lineRule="auto"/>
              <w:jc w:val="right"/>
              <w:textAlignment w:val="center"/>
              <w:rPr>
                <w:rFonts w:ascii="Times New Roman" w:eastAsia="SimSun" w:hAnsi="Times New Roman" w:cs="Times New Roman"/>
                <w:kern w:val="0"/>
                <w:sz w:val="22"/>
                <w:szCs w:val="22"/>
                <w:lang w:eastAsia="hr-HR"/>
                <w14:ligatures w14:val="none"/>
              </w:rPr>
            </w:pPr>
            <w:r w:rsidRPr="008F2553">
              <w:rPr>
                <w:rFonts w:ascii="Times New Roman" w:eastAsia="SimSun" w:hAnsi="Times New Roman" w:cs="Times New Roman"/>
                <w:kern w:val="0"/>
                <w:sz w:val="22"/>
                <w:szCs w:val="22"/>
                <w:lang w:eastAsia="hr-HR"/>
                <w14:ligatures w14:val="none"/>
              </w:rPr>
              <w:t>0,00 %</w:t>
            </w:r>
          </w:p>
        </w:tc>
      </w:tr>
      <w:tr w:rsidR="008F2553" w:rsidRPr="008F2553" w14:paraId="5F4A705D" w14:textId="77777777" w:rsidTr="008F2553">
        <w:trPr>
          <w:trHeight w:val="360"/>
        </w:trPr>
        <w:tc>
          <w:tcPr>
            <w:tcW w:w="4961" w:type="dxa"/>
            <w:tcBorders>
              <w:top w:val="nil"/>
              <w:left w:val="nil"/>
              <w:right w:val="nil"/>
            </w:tcBorders>
            <w:noWrap/>
            <w:vAlign w:val="center"/>
          </w:tcPr>
          <w:p w14:paraId="1E20959D" w14:textId="77777777" w:rsidR="008F2553" w:rsidRPr="008F2553" w:rsidRDefault="008F2553" w:rsidP="008F2553">
            <w:pPr>
              <w:spacing w:after="0" w:line="240" w:lineRule="auto"/>
              <w:rPr>
                <w:rFonts w:ascii="Times New Roman" w:eastAsia="SimSun" w:hAnsi="Times New Roman" w:cs="Times New Roman"/>
                <w:kern w:val="0"/>
                <w:sz w:val="22"/>
                <w:szCs w:val="22"/>
                <w:lang w:eastAsia="hr-HR"/>
                <w14:ligatures w14:val="none"/>
              </w:rPr>
            </w:pPr>
            <w:r w:rsidRPr="008F2553">
              <w:rPr>
                <w:rFonts w:ascii="Times New Roman" w:eastAsia="SimSun" w:hAnsi="Times New Roman" w:cs="Times New Roman"/>
                <w:kern w:val="0"/>
                <w:sz w:val="22"/>
                <w:szCs w:val="22"/>
                <w:lang w:eastAsia="hr-HR"/>
                <w14:ligatures w14:val="none"/>
              </w:rPr>
              <w:t>Prihodi od upravnih i administrativnih pristojbi, po posebnim propisima i naknada</w:t>
            </w:r>
          </w:p>
        </w:tc>
        <w:tc>
          <w:tcPr>
            <w:tcW w:w="2670" w:type="dxa"/>
            <w:tcBorders>
              <w:top w:val="nil"/>
              <w:left w:val="nil"/>
              <w:right w:val="nil"/>
            </w:tcBorders>
            <w:noWrap/>
          </w:tcPr>
          <w:p w14:paraId="631858D0" w14:textId="77777777" w:rsidR="008F2553" w:rsidRPr="008F2553" w:rsidRDefault="008F2553" w:rsidP="008F2553">
            <w:pPr>
              <w:spacing w:after="0" w:line="240" w:lineRule="auto"/>
              <w:jc w:val="right"/>
              <w:rPr>
                <w:rFonts w:ascii="Times New Roman" w:eastAsia="SimSun" w:hAnsi="Times New Roman" w:cs="Times New Roman"/>
                <w:kern w:val="0"/>
                <w:lang w:eastAsia="hr-HR"/>
                <w14:ligatures w14:val="none"/>
              </w:rPr>
            </w:pPr>
          </w:p>
          <w:p w14:paraId="381406EB" w14:textId="77E8CE74" w:rsidR="008F2553" w:rsidRPr="008F2553" w:rsidRDefault="008F2553" w:rsidP="008F2553">
            <w:pPr>
              <w:spacing w:after="0" w:line="240" w:lineRule="auto"/>
              <w:jc w:val="right"/>
              <w:rPr>
                <w:rFonts w:ascii="Times New Roman" w:eastAsia="SimSun" w:hAnsi="Times New Roman" w:cs="Times New Roman"/>
                <w:kern w:val="0"/>
                <w:lang w:eastAsia="hr-HR"/>
                <w14:ligatures w14:val="none"/>
              </w:rPr>
            </w:pPr>
            <w:r w:rsidRPr="008F2553">
              <w:rPr>
                <w:rFonts w:ascii="Times New Roman" w:eastAsia="SimSun" w:hAnsi="Times New Roman" w:cs="Times New Roman"/>
                <w:kern w:val="0"/>
                <w:lang w:eastAsia="hr-HR"/>
                <w14:ligatures w14:val="none"/>
              </w:rPr>
              <w:t xml:space="preserve">               </w:t>
            </w:r>
            <w:r>
              <w:rPr>
                <w:rFonts w:ascii="Times New Roman" w:eastAsia="SimSun" w:hAnsi="Times New Roman" w:cs="Times New Roman"/>
                <w:kern w:val="0"/>
                <w:lang w:eastAsia="hr-HR"/>
                <w14:ligatures w14:val="none"/>
              </w:rPr>
              <w:t>53.023,70</w:t>
            </w:r>
          </w:p>
        </w:tc>
        <w:tc>
          <w:tcPr>
            <w:tcW w:w="1122" w:type="dxa"/>
            <w:tcBorders>
              <w:top w:val="nil"/>
              <w:left w:val="nil"/>
              <w:right w:val="nil"/>
            </w:tcBorders>
            <w:noWrap/>
            <w:vAlign w:val="center"/>
          </w:tcPr>
          <w:p w14:paraId="735A39AA" w14:textId="77777777" w:rsidR="008F2553" w:rsidRPr="008F2553" w:rsidRDefault="008F2553" w:rsidP="008F2553">
            <w:pPr>
              <w:spacing w:after="0" w:line="240" w:lineRule="auto"/>
              <w:ind w:firstLineChars="200" w:firstLine="440"/>
              <w:jc w:val="right"/>
              <w:textAlignment w:val="center"/>
              <w:rPr>
                <w:rFonts w:ascii="Times New Roman" w:eastAsia="SimSun" w:hAnsi="Times New Roman" w:cs="Times New Roman"/>
                <w:kern w:val="0"/>
                <w:sz w:val="22"/>
                <w:szCs w:val="22"/>
                <w:lang w:eastAsia="hr-HR"/>
                <w14:ligatures w14:val="none"/>
              </w:rPr>
            </w:pPr>
          </w:p>
          <w:p w14:paraId="676315DB" w14:textId="4E0768C0" w:rsidR="008F2553" w:rsidRPr="008F2553" w:rsidRDefault="008F2553" w:rsidP="008F2553">
            <w:pPr>
              <w:spacing w:after="0" w:line="240" w:lineRule="auto"/>
              <w:jc w:val="right"/>
              <w:textAlignment w:val="center"/>
              <w:rPr>
                <w:rFonts w:ascii="Times New Roman" w:eastAsia="SimSun" w:hAnsi="Times New Roman" w:cs="Times New Roman"/>
                <w:kern w:val="0"/>
                <w:sz w:val="22"/>
                <w:szCs w:val="22"/>
                <w:lang w:eastAsia="hr-HR"/>
                <w14:ligatures w14:val="none"/>
              </w:rPr>
            </w:pPr>
            <w:r>
              <w:rPr>
                <w:rFonts w:ascii="Times New Roman" w:eastAsia="SimSun" w:hAnsi="Times New Roman" w:cs="Times New Roman"/>
                <w:kern w:val="0"/>
                <w:sz w:val="22"/>
                <w:szCs w:val="22"/>
                <w:lang w:eastAsia="hr-HR"/>
                <w14:ligatures w14:val="none"/>
              </w:rPr>
              <w:t>9,90</w:t>
            </w:r>
            <w:r w:rsidRPr="008F2553">
              <w:rPr>
                <w:rFonts w:ascii="Times New Roman" w:eastAsia="SimSun" w:hAnsi="Times New Roman" w:cs="Times New Roman"/>
                <w:kern w:val="0"/>
                <w:sz w:val="22"/>
                <w:szCs w:val="22"/>
                <w:lang w:eastAsia="hr-HR"/>
                <w14:ligatures w14:val="none"/>
              </w:rPr>
              <w:t xml:space="preserve"> %</w:t>
            </w:r>
          </w:p>
        </w:tc>
      </w:tr>
      <w:tr w:rsidR="008F2553" w:rsidRPr="008F2553" w14:paraId="180DA859" w14:textId="77777777" w:rsidTr="008F2553">
        <w:trPr>
          <w:trHeight w:val="360"/>
        </w:trPr>
        <w:tc>
          <w:tcPr>
            <w:tcW w:w="4961" w:type="dxa"/>
            <w:tcBorders>
              <w:top w:val="nil"/>
              <w:left w:val="nil"/>
              <w:bottom w:val="single" w:sz="4" w:space="0" w:color="auto"/>
              <w:right w:val="nil"/>
            </w:tcBorders>
            <w:noWrap/>
            <w:vAlign w:val="center"/>
          </w:tcPr>
          <w:p w14:paraId="45C578A6" w14:textId="18DB392F" w:rsidR="008F2553" w:rsidRPr="008F2553" w:rsidRDefault="008F2553" w:rsidP="008F2553">
            <w:pPr>
              <w:spacing w:after="0" w:line="240" w:lineRule="auto"/>
              <w:rPr>
                <w:rFonts w:ascii="Times New Roman" w:eastAsia="SimSun" w:hAnsi="Times New Roman" w:cs="Times New Roman"/>
                <w:kern w:val="0"/>
                <w:sz w:val="22"/>
                <w:szCs w:val="22"/>
                <w:lang w:eastAsia="hr-HR"/>
                <w14:ligatures w14:val="none"/>
              </w:rPr>
            </w:pPr>
            <w:r>
              <w:rPr>
                <w:rFonts w:ascii="Times New Roman" w:eastAsia="SimSun" w:hAnsi="Times New Roman" w:cs="Times New Roman"/>
                <w:kern w:val="0"/>
                <w:sz w:val="22"/>
                <w:szCs w:val="22"/>
                <w:lang w:eastAsia="hr-HR"/>
                <w14:ligatures w14:val="none"/>
              </w:rPr>
              <w:t>Prihodi iz nadležnog proračuna</w:t>
            </w:r>
          </w:p>
        </w:tc>
        <w:tc>
          <w:tcPr>
            <w:tcW w:w="2670" w:type="dxa"/>
            <w:tcBorders>
              <w:top w:val="nil"/>
              <w:left w:val="nil"/>
              <w:bottom w:val="single" w:sz="4" w:space="0" w:color="auto"/>
              <w:right w:val="nil"/>
            </w:tcBorders>
            <w:noWrap/>
          </w:tcPr>
          <w:p w14:paraId="43B2627A" w14:textId="6648B984" w:rsidR="008F2553" w:rsidRPr="008F2553" w:rsidRDefault="008F2553" w:rsidP="008F2553">
            <w:pPr>
              <w:spacing w:after="0" w:line="240" w:lineRule="auto"/>
              <w:jc w:val="right"/>
              <w:rPr>
                <w:rFonts w:ascii="Times New Roman" w:eastAsia="SimSun" w:hAnsi="Times New Roman" w:cs="Times New Roman"/>
                <w:kern w:val="0"/>
                <w:lang w:eastAsia="hr-HR"/>
                <w14:ligatures w14:val="none"/>
              </w:rPr>
            </w:pPr>
          </w:p>
          <w:p w14:paraId="2D78CAEC" w14:textId="527B21A3" w:rsidR="008F2553" w:rsidRPr="008F2553" w:rsidRDefault="008F2553" w:rsidP="008F2553">
            <w:pPr>
              <w:spacing w:after="0" w:line="240" w:lineRule="auto"/>
              <w:jc w:val="right"/>
              <w:rPr>
                <w:rFonts w:ascii="Times New Roman" w:eastAsia="SimSun" w:hAnsi="Times New Roman" w:cs="Times New Roman"/>
                <w:kern w:val="0"/>
                <w:lang w:eastAsia="hr-HR"/>
                <w14:ligatures w14:val="none"/>
              </w:rPr>
            </w:pPr>
            <w:r w:rsidRPr="008F2553">
              <w:rPr>
                <w:rFonts w:ascii="Times New Roman" w:eastAsia="SimSun" w:hAnsi="Times New Roman" w:cs="Times New Roman"/>
                <w:kern w:val="0"/>
                <w:lang w:eastAsia="hr-HR"/>
                <w14:ligatures w14:val="none"/>
              </w:rPr>
              <w:t xml:space="preserve">              </w:t>
            </w:r>
            <w:r>
              <w:rPr>
                <w:rFonts w:ascii="Times New Roman" w:eastAsia="SimSun" w:hAnsi="Times New Roman" w:cs="Times New Roman"/>
                <w:kern w:val="0"/>
                <w:lang w:eastAsia="hr-HR"/>
                <w14:ligatures w14:val="none"/>
              </w:rPr>
              <w:t>482.225,32</w:t>
            </w:r>
          </w:p>
        </w:tc>
        <w:tc>
          <w:tcPr>
            <w:tcW w:w="1122" w:type="dxa"/>
            <w:tcBorders>
              <w:top w:val="nil"/>
              <w:left w:val="nil"/>
              <w:bottom w:val="single" w:sz="4" w:space="0" w:color="auto"/>
              <w:right w:val="nil"/>
            </w:tcBorders>
            <w:noWrap/>
            <w:vAlign w:val="center"/>
          </w:tcPr>
          <w:p w14:paraId="0E0D8918" w14:textId="77777777" w:rsidR="008F2553" w:rsidRPr="008F2553" w:rsidRDefault="008F2553" w:rsidP="008F2553">
            <w:pPr>
              <w:spacing w:after="0" w:line="240" w:lineRule="auto"/>
              <w:ind w:firstLineChars="250" w:firstLine="550"/>
              <w:jc w:val="right"/>
              <w:textAlignment w:val="center"/>
              <w:rPr>
                <w:rFonts w:ascii="Times New Roman" w:eastAsia="SimSun" w:hAnsi="Times New Roman" w:cs="Times New Roman"/>
                <w:kern w:val="0"/>
                <w:sz w:val="22"/>
                <w:szCs w:val="22"/>
                <w:lang w:eastAsia="hr-HR"/>
                <w14:ligatures w14:val="none"/>
              </w:rPr>
            </w:pPr>
          </w:p>
          <w:p w14:paraId="38510A87" w14:textId="3F71C5F3" w:rsidR="008F2553" w:rsidRPr="008F2553" w:rsidRDefault="008F2553" w:rsidP="008F2553">
            <w:pPr>
              <w:spacing w:after="0" w:line="240" w:lineRule="auto"/>
              <w:jc w:val="right"/>
              <w:textAlignment w:val="center"/>
              <w:rPr>
                <w:rFonts w:ascii="Times New Roman" w:eastAsia="SimSun" w:hAnsi="Times New Roman" w:cs="Times New Roman"/>
                <w:kern w:val="0"/>
                <w:sz w:val="22"/>
                <w:szCs w:val="22"/>
                <w:lang w:eastAsia="hr-HR"/>
                <w14:ligatures w14:val="none"/>
              </w:rPr>
            </w:pPr>
            <w:r w:rsidRPr="008F2553">
              <w:rPr>
                <w:rFonts w:ascii="Times New Roman" w:eastAsia="SimSun" w:hAnsi="Times New Roman" w:cs="Times New Roman"/>
                <w:kern w:val="0"/>
                <w:sz w:val="22"/>
                <w:szCs w:val="22"/>
                <w:lang w:eastAsia="hr-HR"/>
                <w14:ligatures w14:val="none"/>
              </w:rPr>
              <w:t xml:space="preserve">  </w:t>
            </w:r>
            <w:r>
              <w:rPr>
                <w:rFonts w:ascii="Times New Roman" w:eastAsia="SimSun" w:hAnsi="Times New Roman" w:cs="Times New Roman"/>
                <w:kern w:val="0"/>
                <w:sz w:val="22"/>
                <w:szCs w:val="22"/>
                <w:lang w:eastAsia="hr-HR"/>
                <w14:ligatures w14:val="none"/>
              </w:rPr>
              <w:t>90,01</w:t>
            </w:r>
            <w:r w:rsidRPr="008F2553">
              <w:rPr>
                <w:rFonts w:ascii="Times New Roman" w:eastAsia="SimSun" w:hAnsi="Times New Roman" w:cs="Times New Roman"/>
                <w:kern w:val="0"/>
                <w:sz w:val="22"/>
                <w:szCs w:val="22"/>
                <w:lang w:eastAsia="hr-HR"/>
                <w14:ligatures w14:val="none"/>
              </w:rPr>
              <w:t xml:space="preserve"> %</w:t>
            </w:r>
          </w:p>
        </w:tc>
      </w:tr>
      <w:tr w:rsidR="008F2553" w:rsidRPr="008F2553" w14:paraId="0AAF3420" w14:textId="77777777" w:rsidTr="008F2553">
        <w:trPr>
          <w:trHeight w:val="360"/>
        </w:trPr>
        <w:tc>
          <w:tcPr>
            <w:tcW w:w="4961" w:type="dxa"/>
            <w:tcBorders>
              <w:top w:val="single" w:sz="4" w:space="0" w:color="auto"/>
              <w:left w:val="nil"/>
              <w:bottom w:val="nil"/>
              <w:right w:val="nil"/>
            </w:tcBorders>
            <w:noWrap/>
            <w:vAlign w:val="center"/>
          </w:tcPr>
          <w:p w14:paraId="06798863" w14:textId="77777777" w:rsidR="008F2553" w:rsidRPr="008F2553" w:rsidRDefault="008F2553" w:rsidP="008F2553">
            <w:pPr>
              <w:spacing w:after="0" w:line="240" w:lineRule="auto"/>
              <w:rPr>
                <w:rFonts w:ascii="Times New Roman" w:eastAsia="SimSun" w:hAnsi="Times New Roman" w:cs="Times New Roman"/>
                <w:b/>
                <w:bCs/>
                <w:kern w:val="0"/>
                <w:sz w:val="22"/>
                <w:szCs w:val="22"/>
                <w:lang w:eastAsia="hr-HR"/>
                <w14:ligatures w14:val="none"/>
              </w:rPr>
            </w:pPr>
            <w:r w:rsidRPr="008F2553">
              <w:rPr>
                <w:rFonts w:ascii="Times New Roman" w:eastAsia="SimSun" w:hAnsi="Times New Roman" w:cs="Times New Roman"/>
                <w:b/>
                <w:bCs/>
                <w:kern w:val="0"/>
                <w:sz w:val="22"/>
                <w:szCs w:val="22"/>
                <w:lang w:eastAsia="hr-HR"/>
                <w14:ligatures w14:val="none"/>
              </w:rPr>
              <w:t>UKUPNO</w:t>
            </w:r>
          </w:p>
        </w:tc>
        <w:tc>
          <w:tcPr>
            <w:tcW w:w="2670" w:type="dxa"/>
            <w:tcBorders>
              <w:top w:val="single" w:sz="4" w:space="0" w:color="auto"/>
              <w:left w:val="nil"/>
              <w:bottom w:val="nil"/>
              <w:right w:val="nil"/>
            </w:tcBorders>
            <w:noWrap/>
            <w:vAlign w:val="center"/>
          </w:tcPr>
          <w:p w14:paraId="7F71E659" w14:textId="2DB2260E" w:rsidR="008F2553" w:rsidRPr="008F2553" w:rsidRDefault="008F2553" w:rsidP="008F2553">
            <w:pPr>
              <w:wordWrap w:val="0"/>
              <w:spacing w:after="0" w:line="240" w:lineRule="auto"/>
              <w:jc w:val="right"/>
              <w:textAlignment w:val="bottom"/>
              <w:rPr>
                <w:rFonts w:ascii="Times New Roman" w:eastAsia="SimSun" w:hAnsi="Times New Roman" w:cs="Times New Roman"/>
                <w:kern w:val="0"/>
                <w:lang w:eastAsia="hr-HR"/>
                <w14:ligatures w14:val="none"/>
              </w:rPr>
            </w:pPr>
            <w:r>
              <w:rPr>
                <w:rFonts w:ascii="Times New Roman" w:eastAsia="SimSun" w:hAnsi="Times New Roman" w:cs="Times New Roman"/>
                <w:kern w:val="0"/>
                <w:lang w:eastAsia="hr-HR"/>
                <w14:ligatures w14:val="none"/>
              </w:rPr>
              <w:t>535.738,67</w:t>
            </w:r>
          </w:p>
        </w:tc>
        <w:tc>
          <w:tcPr>
            <w:tcW w:w="1122" w:type="dxa"/>
            <w:tcBorders>
              <w:top w:val="single" w:sz="4" w:space="0" w:color="auto"/>
              <w:left w:val="nil"/>
              <w:bottom w:val="nil"/>
              <w:right w:val="nil"/>
            </w:tcBorders>
            <w:noWrap/>
            <w:vAlign w:val="center"/>
          </w:tcPr>
          <w:p w14:paraId="4F9EE0DD" w14:textId="77777777" w:rsidR="008F2553" w:rsidRPr="008F2553" w:rsidRDefault="008F2553" w:rsidP="008F2553">
            <w:pPr>
              <w:spacing w:after="0" w:line="240" w:lineRule="auto"/>
              <w:jc w:val="right"/>
              <w:rPr>
                <w:rFonts w:ascii="Times New Roman" w:eastAsia="SimSun" w:hAnsi="Times New Roman" w:cs="Times New Roman"/>
                <w:b/>
                <w:bCs/>
                <w:kern w:val="0"/>
                <w:sz w:val="22"/>
                <w:szCs w:val="22"/>
                <w:lang w:eastAsia="hr-HR"/>
                <w14:ligatures w14:val="none"/>
              </w:rPr>
            </w:pPr>
          </w:p>
          <w:p w14:paraId="1D2553EE" w14:textId="77777777" w:rsidR="008F2553" w:rsidRPr="008F2553" w:rsidRDefault="008F2553" w:rsidP="008F2553">
            <w:pPr>
              <w:spacing w:after="0" w:line="240" w:lineRule="auto"/>
              <w:jc w:val="right"/>
              <w:rPr>
                <w:rFonts w:ascii="Times New Roman" w:eastAsia="SimSun" w:hAnsi="Times New Roman" w:cs="Times New Roman"/>
                <w:b/>
                <w:bCs/>
                <w:kern w:val="0"/>
                <w:sz w:val="22"/>
                <w:szCs w:val="22"/>
                <w:lang w:eastAsia="hr-HR"/>
                <w14:ligatures w14:val="none"/>
              </w:rPr>
            </w:pPr>
            <w:r w:rsidRPr="008F2553">
              <w:rPr>
                <w:rFonts w:ascii="Times New Roman" w:eastAsia="SimSun" w:hAnsi="Times New Roman" w:cs="Times New Roman"/>
                <w:b/>
                <w:bCs/>
                <w:kern w:val="0"/>
                <w:sz w:val="22"/>
                <w:szCs w:val="22"/>
                <w:lang w:eastAsia="hr-HR"/>
                <w14:ligatures w14:val="none"/>
              </w:rPr>
              <w:t xml:space="preserve"> 100,00%</w:t>
            </w:r>
          </w:p>
          <w:p w14:paraId="3C119C8A" w14:textId="77777777" w:rsidR="008F2553" w:rsidRPr="008F2553" w:rsidRDefault="008F2553" w:rsidP="008F2553">
            <w:pPr>
              <w:spacing w:after="0" w:line="240" w:lineRule="auto"/>
              <w:jc w:val="right"/>
              <w:rPr>
                <w:rFonts w:ascii="Times New Roman" w:eastAsia="SimSun" w:hAnsi="Times New Roman" w:cs="Times New Roman"/>
                <w:kern w:val="0"/>
                <w:sz w:val="22"/>
                <w:szCs w:val="22"/>
                <w:lang w:eastAsia="hr-HR"/>
                <w14:ligatures w14:val="none"/>
              </w:rPr>
            </w:pPr>
          </w:p>
        </w:tc>
      </w:tr>
    </w:tbl>
    <w:p w14:paraId="0E160D11" w14:textId="5766BB73" w:rsidR="008F2553" w:rsidRDefault="008564CC" w:rsidP="008F2553">
      <w:r>
        <w:rPr>
          <w:noProof/>
          <w:lang w:val="en-US"/>
        </w:rPr>
        <w:drawing>
          <wp:anchor distT="0" distB="0" distL="114300" distR="114300" simplePos="0" relativeHeight="251659264" behindDoc="0" locked="0" layoutInCell="1" allowOverlap="1" wp14:anchorId="65B3E6BD" wp14:editId="017F1250">
            <wp:simplePos x="0" y="0"/>
            <wp:positionH relativeFrom="margin">
              <wp:align>center</wp:align>
            </wp:positionH>
            <wp:positionV relativeFrom="paragraph">
              <wp:posOffset>302895</wp:posOffset>
            </wp:positionV>
            <wp:extent cx="5234940" cy="2987040"/>
            <wp:effectExtent l="0" t="0" r="3810" b="3810"/>
            <wp:wrapNone/>
            <wp:docPr id="152944283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7F505AE6" w14:textId="4F969444" w:rsidR="008F2553" w:rsidRDefault="008F2553" w:rsidP="008F2553"/>
    <w:p w14:paraId="750DEFA2" w14:textId="28BE6DA7" w:rsidR="008F2553" w:rsidRDefault="008F2553" w:rsidP="008F2553"/>
    <w:p w14:paraId="0685461D" w14:textId="77777777" w:rsidR="008564CC" w:rsidRPr="008564CC" w:rsidRDefault="008564CC" w:rsidP="008564CC"/>
    <w:p w14:paraId="363A259E" w14:textId="77777777" w:rsidR="008564CC" w:rsidRPr="008564CC" w:rsidRDefault="008564CC" w:rsidP="008564CC"/>
    <w:p w14:paraId="7D940264" w14:textId="77777777" w:rsidR="008564CC" w:rsidRPr="008564CC" w:rsidRDefault="008564CC" w:rsidP="008564CC"/>
    <w:p w14:paraId="78CACC7F" w14:textId="77777777" w:rsidR="008564CC" w:rsidRPr="008564CC" w:rsidRDefault="008564CC" w:rsidP="008564CC"/>
    <w:p w14:paraId="76C0BD98" w14:textId="77777777" w:rsidR="008564CC" w:rsidRPr="008564CC" w:rsidRDefault="008564CC" w:rsidP="008564CC"/>
    <w:p w14:paraId="50CBE4D8" w14:textId="77777777" w:rsidR="008564CC" w:rsidRDefault="008564CC" w:rsidP="008564CC"/>
    <w:p w14:paraId="4306B278" w14:textId="77777777" w:rsidR="008564CC" w:rsidRDefault="008564CC" w:rsidP="008564CC">
      <w:pPr>
        <w:jc w:val="right"/>
      </w:pPr>
    </w:p>
    <w:p w14:paraId="3984A485" w14:textId="4D533AED" w:rsidR="008564CC" w:rsidRPr="008564CC" w:rsidRDefault="008564CC" w:rsidP="008564CC">
      <w:pPr>
        <w:spacing w:after="0" w:line="360" w:lineRule="auto"/>
        <w:jc w:val="both"/>
        <w:rPr>
          <w:rFonts w:ascii="Times New Roman" w:eastAsia="SimSun" w:hAnsi="Times New Roman" w:cs="Times New Roman"/>
          <w:b/>
          <w:bCs/>
          <w:i/>
          <w:iCs/>
          <w:kern w:val="0"/>
          <w:lang w:eastAsia="hr-HR"/>
          <w14:ligatures w14:val="none"/>
        </w:rPr>
      </w:pPr>
      <w:r w:rsidRPr="008564CC">
        <w:rPr>
          <w:rFonts w:ascii="Times New Roman" w:eastAsia="SimSun" w:hAnsi="Times New Roman" w:cs="Times New Roman"/>
          <w:kern w:val="0"/>
          <w:lang w:eastAsia="hr-HR"/>
          <w14:ligatures w14:val="none"/>
        </w:rPr>
        <w:lastRenderedPageBreak/>
        <w:t xml:space="preserve">Prihodi poslovanja ostvareni su u ukupnom iznosu od </w:t>
      </w:r>
      <w:r>
        <w:rPr>
          <w:rFonts w:ascii="Times New Roman" w:eastAsia="SimSun" w:hAnsi="Times New Roman" w:cs="Times New Roman"/>
          <w:kern w:val="0"/>
          <w:lang w:eastAsia="zh-CN" w:bidi="ar"/>
          <w14:ligatures w14:val="none"/>
        </w:rPr>
        <w:t>535.738,67 eura</w:t>
      </w:r>
      <w:r w:rsidRPr="008564CC">
        <w:rPr>
          <w:rFonts w:ascii="Times New Roman" w:eastAsia="SimSun" w:hAnsi="Times New Roman" w:cs="Times New Roman"/>
          <w:kern w:val="0"/>
          <w:lang w:eastAsia="hr-HR"/>
          <w14:ligatures w14:val="none"/>
        </w:rPr>
        <w:t xml:space="preserve"> što je za </w:t>
      </w:r>
      <w:r>
        <w:rPr>
          <w:rFonts w:ascii="Times New Roman" w:eastAsia="SimSun" w:hAnsi="Times New Roman" w:cs="Times New Roman"/>
          <w:kern w:val="0"/>
          <w:lang w:eastAsia="hr-HR"/>
          <w14:ligatures w14:val="none"/>
        </w:rPr>
        <w:t>37,77</w:t>
      </w:r>
      <w:r w:rsidRPr="008564CC">
        <w:rPr>
          <w:rFonts w:ascii="Times New Roman" w:eastAsia="SimSun" w:hAnsi="Times New Roman" w:cs="Times New Roman"/>
          <w:kern w:val="0"/>
          <w:lang w:eastAsia="hr-HR"/>
          <w14:ligatures w14:val="none"/>
        </w:rPr>
        <w:t xml:space="preserve"> % više nego istog razdoblja 202</w:t>
      </w:r>
      <w:r>
        <w:rPr>
          <w:rFonts w:ascii="Times New Roman" w:eastAsia="SimSun" w:hAnsi="Times New Roman" w:cs="Times New Roman"/>
          <w:kern w:val="0"/>
          <w:lang w:eastAsia="hr-HR"/>
          <w14:ligatures w14:val="none"/>
        </w:rPr>
        <w:t>4</w:t>
      </w:r>
      <w:r w:rsidRPr="008564CC">
        <w:rPr>
          <w:rFonts w:ascii="Times New Roman" w:eastAsia="SimSun" w:hAnsi="Times New Roman" w:cs="Times New Roman"/>
          <w:kern w:val="0"/>
          <w:lang w:eastAsia="hr-HR"/>
          <w14:ligatures w14:val="none"/>
        </w:rPr>
        <w:t xml:space="preserve">. godine i </w:t>
      </w:r>
      <w:r w:rsidR="00837BB1">
        <w:rPr>
          <w:rFonts w:ascii="Times New Roman" w:eastAsia="SimSun" w:hAnsi="Times New Roman" w:cs="Times New Roman"/>
          <w:kern w:val="0"/>
          <w:lang w:eastAsia="hr-HR"/>
          <w14:ligatures w14:val="none"/>
        </w:rPr>
        <w:t>5,11</w:t>
      </w:r>
      <w:r w:rsidRPr="008564CC">
        <w:rPr>
          <w:rFonts w:ascii="Times New Roman" w:eastAsia="SimSun" w:hAnsi="Times New Roman" w:cs="Times New Roman"/>
          <w:kern w:val="0"/>
          <w:lang w:eastAsia="hr-HR"/>
          <w14:ligatures w14:val="none"/>
        </w:rPr>
        <w:t xml:space="preserve">% </w:t>
      </w:r>
      <w:r w:rsidR="00837BB1">
        <w:rPr>
          <w:rFonts w:ascii="Times New Roman" w:eastAsia="SimSun" w:hAnsi="Times New Roman" w:cs="Times New Roman"/>
          <w:kern w:val="0"/>
          <w:lang w:eastAsia="hr-HR"/>
          <w14:ligatures w14:val="none"/>
        </w:rPr>
        <w:t>više</w:t>
      </w:r>
      <w:r w:rsidRPr="008564CC">
        <w:rPr>
          <w:rFonts w:ascii="Times New Roman" w:eastAsia="SimSun" w:hAnsi="Times New Roman" w:cs="Times New Roman"/>
          <w:kern w:val="0"/>
          <w:lang w:eastAsia="hr-HR"/>
          <w14:ligatures w14:val="none"/>
        </w:rPr>
        <w:t xml:space="preserve"> u odnosu na godišnji plan. Najveće povećanje prihoda odnosi se na Prihode iz nadležnog proračuna koji bilježe uvećanje od </w:t>
      </w:r>
      <w:r w:rsidR="00837BB1">
        <w:rPr>
          <w:rFonts w:ascii="Times New Roman" w:eastAsia="SimSun" w:hAnsi="Times New Roman" w:cs="Times New Roman"/>
          <w:kern w:val="0"/>
          <w:lang w:eastAsia="hr-HR"/>
          <w14:ligatures w14:val="none"/>
        </w:rPr>
        <w:t>42,34</w:t>
      </w:r>
      <w:r w:rsidRPr="008564CC">
        <w:rPr>
          <w:rFonts w:ascii="Times New Roman" w:eastAsia="SimSun" w:hAnsi="Times New Roman" w:cs="Times New Roman"/>
          <w:kern w:val="0"/>
          <w:lang w:eastAsia="hr-HR"/>
          <w14:ligatures w14:val="none"/>
        </w:rPr>
        <w:t xml:space="preserve">% u odnosu na prošlu godinu te su za </w:t>
      </w:r>
      <w:r w:rsidR="00837BB1">
        <w:rPr>
          <w:rFonts w:ascii="Times New Roman" w:eastAsia="SimSun" w:hAnsi="Times New Roman" w:cs="Times New Roman"/>
          <w:kern w:val="0"/>
          <w:lang w:eastAsia="hr-HR"/>
          <w14:ligatures w14:val="none"/>
        </w:rPr>
        <w:t>19,04</w:t>
      </w:r>
      <w:r w:rsidRPr="008564CC">
        <w:rPr>
          <w:rFonts w:ascii="Times New Roman" w:eastAsia="SimSun" w:hAnsi="Times New Roman" w:cs="Times New Roman"/>
          <w:kern w:val="0"/>
          <w:lang w:eastAsia="hr-HR"/>
          <w14:ligatures w14:val="none"/>
        </w:rPr>
        <w:t xml:space="preserve">% </w:t>
      </w:r>
      <w:r w:rsidR="00837BB1">
        <w:rPr>
          <w:rFonts w:ascii="Times New Roman" w:eastAsia="SimSun" w:hAnsi="Times New Roman" w:cs="Times New Roman"/>
          <w:kern w:val="0"/>
          <w:lang w:eastAsia="hr-HR"/>
          <w14:ligatures w14:val="none"/>
        </w:rPr>
        <w:t>veći</w:t>
      </w:r>
      <w:r w:rsidRPr="008564CC">
        <w:rPr>
          <w:rFonts w:ascii="Times New Roman" w:eastAsia="SimSun" w:hAnsi="Times New Roman" w:cs="Times New Roman"/>
          <w:kern w:val="0"/>
          <w:lang w:eastAsia="hr-HR"/>
          <w14:ligatures w14:val="none"/>
        </w:rPr>
        <w:t xml:space="preserve"> od izvornog plana. Pomoći iz inozemstva i od subjekata unutar općeg proračuna u odnosu na proteklu godinu su manji za </w:t>
      </w:r>
      <w:r w:rsidR="00837BB1">
        <w:rPr>
          <w:rFonts w:ascii="Times New Roman" w:eastAsia="SimSun" w:hAnsi="Times New Roman" w:cs="Times New Roman"/>
          <w:kern w:val="0"/>
          <w:lang w:eastAsia="hr-HR"/>
          <w14:ligatures w14:val="none"/>
        </w:rPr>
        <w:t>39,52</w:t>
      </w:r>
      <w:r w:rsidRPr="008564CC">
        <w:rPr>
          <w:rFonts w:ascii="Times New Roman" w:eastAsia="SimSun" w:hAnsi="Times New Roman" w:cs="Times New Roman"/>
          <w:kern w:val="0"/>
          <w:lang w:eastAsia="hr-HR"/>
          <w14:ligatures w14:val="none"/>
        </w:rPr>
        <w:t xml:space="preserve">% te za </w:t>
      </w:r>
      <w:r w:rsidR="00837BB1">
        <w:rPr>
          <w:rFonts w:ascii="Times New Roman" w:eastAsia="SimSun" w:hAnsi="Times New Roman" w:cs="Times New Roman"/>
          <w:kern w:val="0"/>
          <w:lang w:eastAsia="hr-HR"/>
          <w14:ligatures w14:val="none"/>
        </w:rPr>
        <w:t>99,00</w:t>
      </w:r>
      <w:r w:rsidRPr="008564CC">
        <w:rPr>
          <w:rFonts w:ascii="Times New Roman" w:eastAsia="SimSun" w:hAnsi="Times New Roman" w:cs="Times New Roman"/>
          <w:kern w:val="0"/>
          <w:lang w:eastAsia="hr-HR"/>
          <w14:ligatures w14:val="none"/>
        </w:rPr>
        <w:t xml:space="preserve">% </w:t>
      </w:r>
      <w:r w:rsidR="00837BB1">
        <w:rPr>
          <w:rFonts w:ascii="Times New Roman" w:eastAsia="SimSun" w:hAnsi="Times New Roman" w:cs="Times New Roman"/>
          <w:kern w:val="0"/>
          <w:lang w:eastAsia="hr-HR"/>
          <w14:ligatures w14:val="none"/>
        </w:rPr>
        <w:t xml:space="preserve">manji </w:t>
      </w:r>
      <w:r w:rsidRPr="008564CC">
        <w:rPr>
          <w:rFonts w:ascii="Times New Roman" w:eastAsia="SimSun" w:hAnsi="Times New Roman" w:cs="Times New Roman"/>
          <w:kern w:val="0"/>
          <w:lang w:eastAsia="hr-HR"/>
          <w14:ligatures w14:val="none"/>
        </w:rPr>
        <w:t>od izvornog plana. Prihodi od upravnih i administrativnih pristojbi, pristojbi po posebnim propisima i naknada bilježe uvećanje od 1</w:t>
      </w:r>
      <w:r w:rsidR="00837BB1">
        <w:rPr>
          <w:rFonts w:ascii="Times New Roman" w:eastAsia="SimSun" w:hAnsi="Times New Roman" w:cs="Times New Roman"/>
          <w:kern w:val="0"/>
          <w:lang w:eastAsia="hr-HR"/>
          <w14:ligatures w14:val="none"/>
        </w:rPr>
        <w:t>0,85</w:t>
      </w:r>
      <w:r w:rsidRPr="008564CC">
        <w:rPr>
          <w:rFonts w:ascii="Times New Roman" w:eastAsia="SimSun" w:hAnsi="Times New Roman" w:cs="Times New Roman"/>
          <w:kern w:val="0"/>
          <w:lang w:eastAsia="hr-HR"/>
          <w14:ligatures w14:val="none"/>
        </w:rPr>
        <w:t xml:space="preserve">%, a manji su od izvornog plana za </w:t>
      </w:r>
      <w:r w:rsidR="00837BB1">
        <w:rPr>
          <w:rFonts w:ascii="Times New Roman" w:eastAsia="SimSun" w:hAnsi="Times New Roman" w:cs="Times New Roman"/>
          <w:kern w:val="0"/>
          <w:lang w:eastAsia="hr-HR"/>
          <w14:ligatures w14:val="none"/>
        </w:rPr>
        <w:t>4,43</w:t>
      </w:r>
      <w:r w:rsidRPr="008564CC">
        <w:rPr>
          <w:rFonts w:ascii="Times New Roman" w:eastAsia="SimSun" w:hAnsi="Times New Roman" w:cs="Times New Roman"/>
          <w:kern w:val="0"/>
          <w:lang w:eastAsia="hr-HR"/>
          <w14:ligatures w14:val="none"/>
        </w:rPr>
        <w:t xml:space="preserve">%. Prihodi od imovine ostvareni su manje za </w:t>
      </w:r>
      <w:r w:rsidR="00693BEE">
        <w:rPr>
          <w:rFonts w:ascii="Times New Roman" w:eastAsia="SimSun" w:hAnsi="Times New Roman" w:cs="Times New Roman"/>
          <w:kern w:val="0"/>
          <w:lang w:eastAsia="hr-HR"/>
          <w14:ligatures w14:val="none"/>
        </w:rPr>
        <w:t>99,75</w:t>
      </w:r>
      <w:r w:rsidRPr="008564CC">
        <w:rPr>
          <w:rFonts w:ascii="Times New Roman" w:eastAsia="SimSun" w:hAnsi="Times New Roman" w:cs="Times New Roman"/>
          <w:kern w:val="0"/>
          <w:lang w:eastAsia="hr-HR"/>
          <w14:ligatures w14:val="none"/>
        </w:rPr>
        <w:t>% u odnosu na godišnji plan, dok u istom razdoblju prošle godine</w:t>
      </w:r>
      <w:r w:rsidR="00693BEE">
        <w:rPr>
          <w:rFonts w:ascii="Times New Roman" w:eastAsia="SimSun" w:hAnsi="Times New Roman" w:cs="Times New Roman"/>
          <w:kern w:val="0"/>
          <w:lang w:eastAsia="hr-HR"/>
          <w14:ligatures w14:val="none"/>
        </w:rPr>
        <w:t xml:space="preserve"> iznose jednako. </w:t>
      </w:r>
    </w:p>
    <w:p w14:paraId="30A86500" w14:textId="77777777" w:rsidR="008564CC" w:rsidRPr="008564CC" w:rsidRDefault="008564CC" w:rsidP="008564CC">
      <w:pPr>
        <w:spacing w:after="0" w:line="240" w:lineRule="auto"/>
        <w:jc w:val="both"/>
        <w:rPr>
          <w:rFonts w:ascii="Times New Roman" w:eastAsia="SimSun" w:hAnsi="Times New Roman" w:cs="Times New Roman"/>
          <w:b/>
          <w:i/>
          <w:iCs/>
          <w:kern w:val="0"/>
          <w:lang w:eastAsia="hr-HR"/>
          <w14:ligatures w14:val="none"/>
        </w:rPr>
      </w:pPr>
    </w:p>
    <w:p w14:paraId="47376CF1" w14:textId="77777777" w:rsidR="008564CC" w:rsidRPr="008564CC" w:rsidRDefault="008564CC" w:rsidP="008564CC">
      <w:pPr>
        <w:spacing w:after="0" w:line="240" w:lineRule="auto"/>
        <w:jc w:val="both"/>
        <w:rPr>
          <w:rFonts w:ascii="Times New Roman" w:eastAsia="SimSun" w:hAnsi="Times New Roman" w:cs="Times New Roman"/>
          <w:i/>
          <w:iCs/>
          <w:kern w:val="0"/>
          <w:lang w:eastAsia="hr-HR"/>
          <w14:ligatures w14:val="none"/>
        </w:rPr>
      </w:pPr>
      <w:r w:rsidRPr="008564CC">
        <w:rPr>
          <w:rFonts w:ascii="Times New Roman" w:eastAsia="SimSun" w:hAnsi="Times New Roman" w:cs="Times New Roman"/>
          <w:b/>
          <w:i/>
          <w:iCs/>
          <w:kern w:val="0"/>
          <w:lang w:eastAsia="hr-HR"/>
          <w14:ligatures w14:val="none"/>
        </w:rPr>
        <w:t xml:space="preserve"> Pomoći iz inozemstva i od subjekata unutar općeg proračuna </w:t>
      </w:r>
    </w:p>
    <w:p w14:paraId="345B3F61" w14:textId="77777777" w:rsidR="008564CC" w:rsidRPr="008564CC" w:rsidRDefault="008564CC" w:rsidP="008564CC">
      <w:pPr>
        <w:spacing w:after="0" w:line="240" w:lineRule="auto"/>
        <w:jc w:val="both"/>
        <w:rPr>
          <w:rFonts w:ascii="Times New Roman" w:eastAsia="SimSun" w:hAnsi="Times New Roman" w:cs="Times New Roman"/>
          <w:kern w:val="0"/>
          <w:lang w:eastAsia="hr-HR"/>
          <w14:ligatures w14:val="none"/>
        </w:rPr>
      </w:pPr>
    </w:p>
    <w:p w14:paraId="2B9B404F" w14:textId="3200F054" w:rsidR="008564CC" w:rsidRPr="008564CC" w:rsidRDefault="008564CC" w:rsidP="008564CC">
      <w:pPr>
        <w:spacing w:after="0" w:line="360" w:lineRule="auto"/>
        <w:jc w:val="both"/>
        <w:rPr>
          <w:rFonts w:ascii="Times New Roman" w:eastAsia="SimSun" w:hAnsi="Times New Roman" w:cs="Times New Roman"/>
          <w:kern w:val="0"/>
          <w:lang w:eastAsia="hr-HR"/>
          <w14:ligatures w14:val="none"/>
        </w:rPr>
      </w:pPr>
      <w:r w:rsidRPr="008564CC">
        <w:rPr>
          <w:rFonts w:ascii="Times New Roman" w:eastAsia="SimSun" w:hAnsi="Times New Roman" w:cs="Times New Roman"/>
          <w:kern w:val="0"/>
          <w:lang w:eastAsia="hr-HR"/>
          <w14:ligatures w14:val="none"/>
        </w:rPr>
        <w:t xml:space="preserve">U izvještajnom razdoblju ostvarene su pomoći u ukupnom iznosu od </w:t>
      </w:r>
      <w:r w:rsidR="00693BEE">
        <w:rPr>
          <w:rFonts w:ascii="Times New Roman" w:eastAsia="SimSun" w:hAnsi="Times New Roman" w:cs="Times New Roman"/>
          <w:kern w:val="0"/>
          <w:lang w:eastAsia="hr-HR"/>
          <w14:ligatures w14:val="none"/>
        </w:rPr>
        <w:t>489,60 eura</w:t>
      </w:r>
      <w:r w:rsidRPr="008564CC">
        <w:rPr>
          <w:rFonts w:ascii="Times New Roman" w:eastAsia="SimSun" w:hAnsi="Times New Roman" w:cs="Times New Roman"/>
          <w:kern w:val="0"/>
          <w:lang w:eastAsia="hr-HR"/>
          <w14:ligatures w14:val="none"/>
        </w:rPr>
        <w:t xml:space="preserve"> te u usporedbi s prošlom godinom su za </w:t>
      </w:r>
      <w:r w:rsidR="00693BEE">
        <w:rPr>
          <w:rFonts w:ascii="Times New Roman" w:eastAsia="SimSun" w:hAnsi="Times New Roman" w:cs="Times New Roman"/>
          <w:kern w:val="0"/>
          <w:lang w:eastAsia="hr-HR"/>
          <w14:ligatures w14:val="none"/>
        </w:rPr>
        <w:t>39,52</w:t>
      </w:r>
      <w:r w:rsidRPr="008564CC">
        <w:rPr>
          <w:rFonts w:ascii="Times New Roman" w:eastAsia="SimSun" w:hAnsi="Times New Roman" w:cs="Times New Roman"/>
          <w:kern w:val="0"/>
          <w:lang w:eastAsia="hr-HR"/>
          <w14:ligatures w14:val="none"/>
        </w:rPr>
        <w:t xml:space="preserve">%  manji, dok su za </w:t>
      </w:r>
      <w:r w:rsidR="00693BEE">
        <w:rPr>
          <w:rFonts w:ascii="Times New Roman" w:eastAsia="SimSun" w:hAnsi="Times New Roman" w:cs="Times New Roman"/>
          <w:kern w:val="0"/>
          <w:lang w:eastAsia="hr-HR"/>
          <w14:ligatures w14:val="none"/>
        </w:rPr>
        <w:t>99,00</w:t>
      </w:r>
      <w:r w:rsidRPr="008564CC">
        <w:rPr>
          <w:rFonts w:ascii="Times New Roman" w:eastAsia="SimSun" w:hAnsi="Times New Roman" w:cs="Times New Roman"/>
          <w:kern w:val="0"/>
          <w:lang w:eastAsia="hr-HR"/>
          <w14:ligatures w14:val="none"/>
        </w:rPr>
        <w:t>% manji od plana, a odnose se na tekuće pomoći proračunu iz drugih proračuna i izvanproračunskim korisnicima (državni proračun).</w:t>
      </w:r>
    </w:p>
    <w:p w14:paraId="7DFEE8E4" w14:textId="77777777" w:rsidR="008564CC" w:rsidRPr="008564CC" w:rsidRDefault="008564CC" w:rsidP="008564CC">
      <w:pPr>
        <w:spacing w:after="0" w:line="240" w:lineRule="auto"/>
        <w:jc w:val="both"/>
        <w:rPr>
          <w:rFonts w:ascii="Times New Roman" w:eastAsia="SimSun" w:hAnsi="Times New Roman" w:cs="Times New Roman"/>
          <w:kern w:val="0"/>
          <w:lang w:eastAsia="hr-HR"/>
          <w14:ligatures w14:val="none"/>
        </w:rPr>
      </w:pPr>
    </w:p>
    <w:p w14:paraId="37397CFF" w14:textId="77777777" w:rsidR="008564CC" w:rsidRPr="008564CC" w:rsidRDefault="008564CC" w:rsidP="008564CC">
      <w:pPr>
        <w:spacing w:after="0" w:line="240" w:lineRule="auto"/>
        <w:jc w:val="both"/>
        <w:rPr>
          <w:rFonts w:ascii="Times New Roman" w:eastAsia="SimSun" w:hAnsi="Times New Roman" w:cs="Times New Roman"/>
          <w:kern w:val="0"/>
          <w:lang w:eastAsia="hr-HR"/>
          <w14:ligatures w14:val="none"/>
        </w:rPr>
      </w:pPr>
    </w:p>
    <w:p w14:paraId="337D1A61" w14:textId="77777777" w:rsidR="008564CC" w:rsidRPr="008564CC" w:rsidRDefault="008564CC" w:rsidP="008564CC">
      <w:pPr>
        <w:spacing w:after="0" w:line="240" w:lineRule="auto"/>
        <w:jc w:val="both"/>
        <w:rPr>
          <w:rFonts w:ascii="Times New Roman" w:eastAsia="SimSun" w:hAnsi="Times New Roman" w:cs="Times New Roman"/>
          <w:i/>
          <w:iCs/>
          <w:kern w:val="0"/>
          <w:lang w:eastAsia="hr-HR"/>
          <w14:ligatures w14:val="none"/>
        </w:rPr>
      </w:pPr>
      <w:r w:rsidRPr="008564CC">
        <w:rPr>
          <w:rFonts w:ascii="Times New Roman" w:eastAsia="SimSun" w:hAnsi="Times New Roman" w:cs="Times New Roman"/>
          <w:b/>
          <w:i/>
          <w:iCs/>
          <w:kern w:val="0"/>
          <w:lang w:eastAsia="hr-HR"/>
          <w14:ligatures w14:val="none"/>
        </w:rPr>
        <w:t xml:space="preserve"> Prihodi od upravnih i administrativnih pristojbi, pristojbi po posebnim propisima i naknada</w:t>
      </w:r>
    </w:p>
    <w:p w14:paraId="6169C99D" w14:textId="77777777" w:rsidR="008564CC" w:rsidRPr="008564CC" w:rsidRDefault="008564CC" w:rsidP="008564CC">
      <w:pPr>
        <w:spacing w:after="0" w:line="360" w:lineRule="auto"/>
        <w:jc w:val="both"/>
        <w:rPr>
          <w:rFonts w:ascii="Times New Roman" w:eastAsia="SimSun" w:hAnsi="Times New Roman" w:cs="Times New Roman"/>
          <w:b/>
          <w:kern w:val="0"/>
          <w:lang w:eastAsia="hr-HR"/>
          <w14:ligatures w14:val="none"/>
        </w:rPr>
      </w:pPr>
    </w:p>
    <w:p w14:paraId="326865BA" w14:textId="722B554E" w:rsidR="008564CC" w:rsidRPr="008564CC" w:rsidRDefault="008564CC" w:rsidP="008564CC">
      <w:pPr>
        <w:spacing w:after="0" w:line="360" w:lineRule="auto"/>
        <w:jc w:val="both"/>
        <w:rPr>
          <w:rFonts w:ascii="Times New Roman" w:eastAsia="SimSun" w:hAnsi="Times New Roman" w:cs="Times New Roman"/>
          <w:kern w:val="0"/>
          <w:lang w:eastAsia="hr-HR"/>
          <w14:ligatures w14:val="none"/>
        </w:rPr>
      </w:pPr>
      <w:r w:rsidRPr="008564CC">
        <w:rPr>
          <w:rFonts w:ascii="Times New Roman" w:eastAsia="SimSun" w:hAnsi="Times New Roman" w:cs="Times New Roman"/>
          <w:kern w:val="0"/>
          <w:lang w:eastAsia="hr-HR"/>
          <w14:ligatures w14:val="none"/>
        </w:rPr>
        <w:t xml:space="preserve">Prihodi su ostvareni s iznosom od </w:t>
      </w:r>
      <w:r w:rsidR="00693BEE">
        <w:rPr>
          <w:rFonts w:ascii="Times New Roman" w:eastAsia="SimSun" w:hAnsi="Times New Roman" w:cs="Times New Roman"/>
          <w:kern w:val="0"/>
          <w:lang w:eastAsia="hr-HR"/>
          <w14:ligatures w14:val="none"/>
        </w:rPr>
        <w:t>53.023,70 eura</w:t>
      </w:r>
      <w:r w:rsidRPr="008564CC">
        <w:rPr>
          <w:rFonts w:ascii="Times New Roman" w:eastAsia="SimSun" w:hAnsi="Times New Roman" w:cs="Times New Roman"/>
          <w:kern w:val="0"/>
          <w:lang w:eastAsia="hr-HR"/>
          <w14:ligatures w14:val="none"/>
        </w:rPr>
        <w:t xml:space="preserve"> što je više za 1</w:t>
      </w:r>
      <w:r w:rsidR="00693BEE">
        <w:rPr>
          <w:rFonts w:ascii="Times New Roman" w:eastAsia="SimSun" w:hAnsi="Times New Roman" w:cs="Times New Roman"/>
          <w:kern w:val="0"/>
          <w:lang w:eastAsia="hr-HR"/>
          <w14:ligatures w14:val="none"/>
        </w:rPr>
        <w:t>0,85</w:t>
      </w:r>
      <w:r w:rsidRPr="008564CC">
        <w:rPr>
          <w:rFonts w:ascii="Times New Roman" w:eastAsia="SimSun" w:hAnsi="Times New Roman" w:cs="Times New Roman"/>
          <w:kern w:val="0"/>
          <w:lang w:eastAsia="hr-HR"/>
          <w14:ligatures w14:val="none"/>
        </w:rPr>
        <w:t xml:space="preserve">% u odnosu na prošlu godinu, a manje za </w:t>
      </w:r>
      <w:r w:rsidR="00693BEE">
        <w:rPr>
          <w:rFonts w:ascii="Times New Roman" w:eastAsia="SimSun" w:hAnsi="Times New Roman" w:cs="Times New Roman"/>
          <w:kern w:val="0"/>
          <w:lang w:eastAsia="hr-HR"/>
          <w14:ligatures w14:val="none"/>
        </w:rPr>
        <w:t>4,43</w:t>
      </w:r>
      <w:r w:rsidRPr="008564CC">
        <w:rPr>
          <w:rFonts w:ascii="Times New Roman" w:eastAsia="SimSun" w:hAnsi="Times New Roman" w:cs="Times New Roman"/>
          <w:kern w:val="0"/>
          <w:lang w:eastAsia="hr-HR"/>
          <w14:ligatures w14:val="none"/>
        </w:rPr>
        <w:t>% od izvornog plana, a odnose se većinom na uplate roditelja.</w:t>
      </w:r>
    </w:p>
    <w:p w14:paraId="40465692" w14:textId="77777777" w:rsidR="008564CC" w:rsidRPr="008564CC" w:rsidRDefault="008564CC" w:rsidP="008564CC">
      <w:pPr>
        <w:spacing w:after="0" w:line="240" w:lineRule="auto"/>
        <w:jc w:val="both"/>
        <w:rPr>
          <w:rFonts w:ascii="Times New Roman" w:eastAsia="SimSun" w:hAnsi="Times New Roman" w:cs="Times New Roman"/>
          <w:kern w:val="0"/>
          <w:lang w:eastAsia="hr-HR"/>
          <w14:ligatures w14:val="none"/>
        </w:rPr>
      </w:pPr>
    </w:p>
    <w:p w14:paraId="6573F31B" w14:textId="77777777" w:rsidR="008564CC" w:rsidRPr="008564CC" w:rsidRDefault="008564CC" w:rsidP="008564CC">
      <w:pPr>
        <w:spacing w:after="0" w:line="240" w:lineRule="auto"/>
        <w:jc w:val="both"/>
        <w:rPr>
          <w:rFonts w:ascii="Times New Roman" w:eastAsia="SimSun" w:hAnsi="Times New Roman" w:cs="Times New Roman"/>
          <w:b/>
          <w:bCs/>
          <w:i/>
          <w:iCs/>
          <w:kern w:val="0"/>
          <w:lang w:eastAsia="hr-HR"/>
          <w14:ligatures w14:val="none"/>
        </w:rPr>
      </w:pPr>
    </w:p>
    <w:p w14:paraId="2C424B5F" w14:textId="77777777" w:rsidR="008564CC" w:rsidRPr="008564CC" w:rsidRDefault="008564CC" w:rsidP="008564CC">
      <w:pPr>
        <w:spacing w:after="0" w:line="240" w:lineRule="auto"/>
        <w:jc w:val="both"/>
        <w:rPr>
          <w:rFonts w:ascii="Times New Roman" w:eastAsia="SimSun" w:hAnsi="Times New Roman" w:cs="Times New Roman"/>
          <w:b/>
          <w:bCs/>
          <w:i/>
          <w:iCs/>
          <w:kern w:val="0"/>
          <w:lang w:eastAsia="hr-HR"/>
          <w14:ligatures w14:val="none"/>
        </w:rPr>
      </w:pPr>
      <w:r w:rsidRPr="008564CC">
        <w:rPr>
          <w:rFonts w:ascii="Times New Roman" w:eastAsia="SimSun" w:hAnsi="Times New Roman" w:cs="Times New Roman"/>
          <w:b/>
          <w:bCs/>
          <w:i/>
          <w:iCs/>
          <w:kern w:val="0"/>
          <w:lang w:eastAsia="hr-HR"/>
          <w14:ligatures w14:val="none"/>
        </w:rPr>
        <w:t>Prihodi iz nadležnog proračuna i od HZZO-a temeljem ugovornih obveza</w:t>
      </w:r>
    </w:p>
    <w:p w14:paraId="065238F5" w14:textId="77777777" w:rsidR="008564CC" w:rsidRPr="008564CC" w:rsidRDefault="008564CC" w:rsidP="008564CC">
      <w:pPr>
        <w:spacing w:after="0" w:line="240" w:lineRule="auto"/>
        <w:ind w:firstLine="708"/>
        <w:jc w:val="both"/>
        <w:rPr>
          <w:rFonts w:ascii="Times New Roman" w:eastAsia="SimSun" w:hAnsi="Times New Roman" w:cs="Times New Roman"/>
          <w:kern w:val="0"/>
          <w:lang w:eastAsia="hr-HR"/>
          <w14:ligatures w14:val="none"/>
        </w:rPr>
      </w:pPr>
    </w:p>
    <w:p w14:paraId="43643DFA" w14:textId="5D80444F" w:rsidR="008564CC" w:rsidRPr="008564CC" w:rsidRDefault="008564CC" w:rsidP="008564CC">
      <w:pPr>
        <w:spacing w:after="0" w:line="360" w:lineRule="auto"/>
        <w:jc w:val="both"/>
        <w:rPr>
          <w:rFonts w:ascii="Times New Roman" w:eastAsia="SimSun" w:hAnsi="Times New Roman" w:cs="Times New Roman"/>
          <w:kern w:val="0"/>
          <w:lang w:eastAsia="hr-HR"/>
          <w14:ligatures w14:val="none"/>
        </w:rPr>
      </w:pPr>
      <w:r w:rsidRPr="008564CC">
        <w:rPr>
          <w:rFonts w:ascii="Times New Roman" w:eastAsia="SimSun" w:hAnsi="Times New Roman" w:cs="Times New Roman"/>
          <w:kern w:val="0"/>
          <w:lang w:eastAsia="hr-HR"/>
          <w14:ligatures w14:val="none"/>
        </w:rPr>
        <w:t xml:space="preserve">Prihodi s te osnove ostvareni su u ukupnom iznosu od </w:t>
      </w:r>
      <w:r w:rsidR="00693BEE">
        <w:rPr>
          <w:rFonts w:ascii="Times New Roman" w:eastAsia="SimSun" w:hAnsi="Times New Roman" w:cs="Times New Roman"/>
          <w:kern w:val="0"/>
          <w:lang w:eastAsia="hr-HR"/>
          <w14:ligatures w14:val="none"/>
        </w:rPr>
        <w:t>482.225,32 eura</w:t>
      </w:r>
      <w:r w:rsidRPr="008564CC">
        <w:rPr>
          <w:rFonts w:ascii="Times New Roman" w:eastAsia="SimSun" w:hAnsi="Times New Roman" w:cs="Times New Roman"/>
          <w:kern w:val="0"/>
          <w:lang w:eastAsia="hr-HR"/>
          <w14:ligatures w14:val="none"/>
        </w:rPr>
        <w:t xml:space="preserve"> i veći su za </w:t>
      </w:r>
      <w:r w:rsidR="00693BEE">
        <w:rPr>
          <w:rFonts w:ascii="Times New Roman" w:eastAsia="SimSun" w:hAnsi="Times New Roman" w:cs="Times New Roman"/>
          <w:kern w:val="0"/>
          <w:lang w:eastAsia="hr-HR"/>
          <w14:ligatures w14:val="none"/>
        </w:rPr>
        <w:t>42,34</w:t>
      </w:r>
      <w:r w:rsidRPr="008564CC">
        <w:rPr>
          <w:rFonts w:ascii="Times New Roman" w:eastAsia="SimSun" w:hAnsi="Times New Roman" w:cs="Times New Roman"/>
          <w:kern w:val="0"/>
          <w:lang w:eastAsia="hr-HR"/>
          <w14:ligatures w14:val="none"/>
        </w:rPr>
        <w:t xml:space="preserve">% od istog razdoblja prošle godine i </w:t>
      </w:r>
      <w:r w:rsidR="00693BEE">
        <w:rPr>
          <w:rFonts w:ascii="Times New Roman" w:eastAsia="SimSun" w:hAnsi="Times New Roman" w:cs="Times New Roman"/>
          <w:kern w:val="0"/>
          <w:lang w:eastAsia="hr-HR"/>
          <w14:ligatures w14:val="none"/>
        </w:rPr>
        <w:t>veći</w:t>
      </w:r>
      <w:r w:rsidRPr="008564CC">
        <w:rPr>
          <w:rFonts w:ascii="Times New Roman" w:eastAsia="SimSun" w:hAnsi="Times New Roman" w:cs="Times New Roman"/>
          <w:kern w:val="0"/>
          <w:lang w:eastAsia="hr-HR"/>
          <w14:ligatures w14:val="none"/>
        </w:rPr>
        <w:t xml:space="preserve"> za 1</w:t>
      </w:r>
      <w:r w:rsidR="00693BEE">
        <w:rPr>
          <w:rFonts w:ascii="Times New Roman" w:eastAsia="SimSun" w:hAnsi="Times New Roman" w:cs="Times New Roman"/>
          <w:kern w:val="0"/>
          <w:lang w:eastAsia="hr-HR"/>
          <w14:ligatures w14:val="none"/>
        </w:rPr>
        <w:t>9,04</w:t>
      </w:r>
      <w:r w:rsidRPr="008564CC">
        <w:rPr>
          <w:rFonts w:ascii="Times New Roman" w:eastAsia="SimSun" w:hAnsi="Times New Roman" w:cs="Times New Roman"/>
          <w:kern w:val="0"/>
          <w:lang w:eastAsia="hr-HR"/>
          <w14:ligatures w14:val="none"/>
        </w:rPr>
        <w:t>% od izvornog plana</w:t>
      </w:r>
      <w:r w:rsidR="00693BEE">
        <w:rPr>
          <w:rFonts w:ascii="Times New Roman" w:eastAsia="SimSun" w:hAnsi="Times New Roman" w:cs="Times New Roman"/>
          <w:kern w:val="0"/>
          <w:lang w:eastAsia="hr-HR"/>
          <w14:ligatures w14:val="none"/>
        </w:rPr>
        <w:t>, a odnose se na p</w:t>
      </w:r>
      <w:r w:rsidRPr="008564CC">
        <w:rPr>
          <w:rFonts w:ascii="Times New Roman" w:eastAsia="SimSun" w:hAnsi="Times New Roman" w:cs="Times New Roman"/>
          <w:kern w:val="0"/>
          <w:lang w:eastAsia="hr-HR"/>
          <w14:ligatures w14:val="none"/>
        </w:rPr>
        <w:t>rihod</w:t>
      </w:r>
      <w:r w:rsidR="00693BEE">
        <w:rPr>
          <w:rFonts w:ascii="Times New Roman" w:eastAsia="SimSun" w:hAnsi="Times New Roman" w:cs="Times New Roman"/>
          <w:kern w:val="0"/>
          <w:lang w:eastAsia="hr-HR"/>
          <w14:ligatures w14:val="none"/>
        </w:rPr>
        <w:t>e</w:t>
      </w:r>
      <w:r w:rsidRPr="008564CC">
        <w:rPr>
          <w:rFonts w:ascii="Times New Roman" w:eastAsia="SimSun" w:hAnsi="Times New Roman" w:cs="Times New Roman"/>
          <w:kern w:val="0"/>
          <w:lang w:eastAsia="hr-HR"/>
          <w14:ligatures w14:val="none"/>
        </w:rPr>
        <w:t xml:space="preserve"> iz nadležnog proračuna za financiranje rashoda poslovanja u </w:t>
      </w:r>
      <w:r w:rsidR="00693BEE">
        <w:rPr>
          <w:rFonts w:ascii="Times New Roman" w:eastAsia="SimSun" w:hAnsi="Times New Roman" w:cs="Times New Roman"/>
          <w:kern w:val="0"/>
          <w:lang w:eastAsia="hr-HR"/>
          <w14:ligatures w14:val="none"/>
        </w:rPr>
        <w:t>cjelokupnom iznosu.</w:t>
      </w:r>
    </w:p>
    <w:p w14:paraId="77AA7982" w14:textId="77777777" w:rsidR="008564CC" w:rsidRPr="008564CC" w:rsidRDefault="008564CC" w:rsidP="008564CC">
      <w:pPr>
        <w:spacing w:after="0" w:line="360" w:lineRule="auto"/>
        <w:jc w:val="both"/>
        <w:rPr>
          <w:rFonts w:ascii="Times New Roman" w:eastAsia="SimSun" w:hAnsi="Times New Roman" w:cs="Times New Roman"/>
          <w:kern w:val="0"/>
          <w:lang w:eastAsia="hr-HR"/>
          <w14:ligatures w14:val="none"/>
        </w:rPr>
      </w:pPr>
    </w:p>
    <w:p w14:paraId="62045A53" w14:textId="77777777" w:rsidR="008564CC" w:rsidRPr="008564CC" w:rsidRDefault="008564CC" w:rsidP="008564CC">
      <w:pPr>
        <w:spacing w:after="0" w:line="360" w:lineRule="auto"/>
        <w:jc w:val="both"/>
        <w:rPr>
          <w:rFonts w:ascii="Times New Roman" w:eastAsia="SimSun" w:hAnsi="Times New Roman" w:cs="Times New Roman"/>
          <w:kern w:val="0"/>
          <w:lang w:eastAsia="hr-HR"/>
          <w14:ligatures w14:val="none"/>
        </w:rPr>
      </w:pPr>
      <w:r w:rsidRPr="008564CC">
        <w:rPr>
          <w:rFonts w:ascii="Times New Roman" w:eastAsia="SimSun" w:hAnsi="Times New Roman" w:cs="Times New Roman"/>
          <w:b/>
          <w:bCs/>
          <w:i/>
          <w:iCs/>
          <w:kern w:val="0"/>
          <w:lang w:eastAsia="hr-HR"/>
          <w14:ligatures w14:val="none"/>
        </w:rPr>
        <w:t>Prihodi od imovine</w:t>
      </w:r>
    </w:p>
    <w:p w14:paraId="5C0A03C8" w14:textId="3CE1E4DA" w:rsidR="008564CC" w:rsidRDefault="008564CC" w:rsidP="008564CC">
      <w:pPr>
        <w:spacing w:after="0" w:line="360" w:lineRule="auto"/>
        <w:jc w:val="both"/>
        <w:rPr>
          <w:rFonts w:ascii="Times New Roman" w:eastAsia="SimSun" w:hAnsi="Times New Roman" w:cs="Times New Roman"/>
          <w:kern w:val="0"/>
          <w:lang w:eastAsia="hr-HR"/>
          <w14:ligatures w14:val="none"/>
        </w:rPr>
      </w:pPr>
      <w:r w:rsidRPr="008564CC">
        <w:rPr>
          <w:rFonts w:ascii="Times New Roman" w:eastAsia="SimSun" w:hAnsi="Times New Roman" w:cs="Times New Roman"/>
          <w:kern w:val="0"/>
          <w:lang w:eastAsia="hr-HR"/>
          <w14:ligatures w14:val="none"/>
        </w:rPr>
        <w:t>Prihodi s te osnove ostvareni su u ukupnom iznosu od 0,05 € i manji za 99,75% od izvornog plana</w:t>
      </w:r>
      <w:r w:rsidR="00693BEE">
        <w:rPr>
          <w:rFonts w:ascii="Times New Roman" w:eastAsia="SimSun" w:hAnsi="Times New Roman" w:cs="Times New Roman"/>
          <w:kern w:val="0"/>
          <w:lang w:eastAsia="hr-HR"/>
          <w14:ligatures w14:val="none"/>
        </w:rPr>
        <w:t>.</w:t>
      </w:r>
    </w:p>
    <w:p w14:paraId="676AC974" w14:textId="77777777" w:rsidR="00693BEE" w:rsidRPr="008564CC" w:rsidRDefault="00693BEE" w:rsidP="008564CC">
      <w:pPr>
        <w:spacing w:after="0" w:line="360" w:lineRule="auto"/>
        <w:jc w:val="both"/>
        <w:rPr>
          <w:rFonts w:ascii="Times New Roman" w:eastAsia="SimSun" w:hAnsi="Times New Roman" w:cs="Times New Roman"/>
          <w:kern w:val="0"/>
          <w:lang w:eastAsia="hr-HR"/>
          <w14:ligatures w14:val="none"/>
        </w:rPr>
      </w:pPr>
    </w:p>
    <w:p w14:paraId="07400380" w14:textId="77777777" w:rsidR="008564CC" w:rsidRPr="008564CC" w:rsidRDefault="008564CC" w:rsidP="008564CC">
      <w:pPr>
        <w:spacing w:after="0" w:line="360" w:lineRule="auto"/>
        <w:jc w:val="both"/>
        <w:rPr>
          <w:rFonts w:ascii="Times New Roman" w:eastAsia="SimSun" w:hAnsi="Times New Roman" w:cs="Times New Roman"/>
          <w:kern w:val="0"/>
          <w:lang w:eastAsia="hr-HR"/>
          <w14:ligatures w14:val="none"/>
        </w:rPr>
      </w:pPr>
      <w:r w:rsidRPr="008564CC">
        <w:rPr>
          <w:rFonts w:ascii="Times New Roman" w:eastAsia="SimSun" w:hAnsi="Times New Roman" w:cs="Times New Roman"/>
          <w:b/>
          <w:bCs/>
          <w:i/>
          <w:iCs/>
          <w:kern w:val="0"/>
          <w:lang w:eastAsia="hr-HR"/>
          <w14:ligatures w14:val="none"/>
        </w:rPr>
        <w:t>Prihodi od prodaje nefinancijske imovine</w:t>
      </w:r>
    </w:p>
    <w:p w14:paraId="3DD2F1EF" w14:textId="77777777" w:rsidR="008564CC" w:rsidRPr="008564CC" w:rsidRDefault="008564CC" w:rsidP="008564CC">
      <w:pPr>
        <w:spacing w:after="0" w:line="360" w:lineRule="auto"/>
        <w:jc w:val="both"/>
        <w:rPr>
          <w:rFonts w:ascii="Times New Roman" w:eastAsia="SimSun" w:hAnsi="Times New Roman" w:cs="Times New Roman"/>
          <w:b/>
          <w:bCs/>
          <w:i/>
          <w:iCs/>
          <w:kern w:val="0"/>
          <w:lang w:eastAsia="hr-HR"/>
          <w14:ligatures w14:val="none"/>
        </w:rPr>
      </w:pPr>
      <w:r w:rsidRPr="008564CC">
        <w:rPr>
          <w:rFonts w:ascii="Times New Roman" w:eastAsia="SimSun" w:hAnsi="Times New Roman" w:cs="Times New Roman"/>
          <w:kern w:val="0"/>
          <w:lang w:eastAsia="hr-HR"/>
          <w14:ligatures w14:val="none"/>
        </w:rPr>
        <w:t>Prihodi od prodaje nefinancijske imovine nisu ostvareni u promatranom razdoblju ove godine.</w:t>
      </w:r>
    </w:p>
    <w:p w14:paraId="60982CA6" w14:textId="77777777" w:rsidR="008564CC" w:rsidRPr="008564CC" w:rsidRDefault="008564CC" w:rsidP="008564CC">
      <w:pPr>
        <w:spacing w:after="0" w:line="360" w:lineRule="auto"/>
        <w:jc w:val="both"/>
        <w:rPr>
          <w:rFonts w:ascii="Times New Roman" w:eastAsia="SimSun" w:hAnsi="Times New Roman" w:cs="Times New Roman"/>
          <w:b/>
          <w:bCs/>
          <w:i/>
          <w:iCs/>
          <w:kern w:val="0"/>
          <w:lang w:eastAsia="hr-HR"/>
          <w14:ligatures w14:val="none"/>
        </w:rPr>
      </w:pPr>
    </w:p>
    <w:p w14:paraId="48F5B971" w14:textId="77777777" w:rsidR="008564CC" w:rsidRPr="008564CC" w:rsidRDefault="008564CC" w:rsidP="008564CC">
      <w:pPr>
        <w:spacing w:after="0" w:line="360" w:lineRule="auto"/>
        <w:jc w:val="both"/>
        <w:rPr>
          <w:rFonts w:ascii="Times New Roman" w:eastAsia="SimSun" w:hAnsi="Times New Roman" w:cs="Times New Roman"/>
          <w:b/>
          <w:bCs/>
          <w:i/>
          <w:iCs/>
          <w:kern w:val="0"/>
          <w:lang w:eastAsia="hr-HR"/>
          <w14:ligatures w14:val="none"/>
        </w:rPr>
      </w:pPr>
      <w:r w:rsidRPr="008564CC">
        <w:rPr>
          <w:rFonts w:ascii="Times New Roman" w:eastAsia="SimSun" w:hAnsi="Times New Roman" w:cs="Times New Roman"/>
          <w:b/>
          <w:bCs/>
          <w:i/>
          <w:iCs/>
          <w:kern w:val="0"/>
          <w:lang w:eastAsia="hr-HR"/>
          <w14:ligatures w14:val="none"/>
        </w:rPr>
        <w:lastRenderedPageBreak/>
        <w:t>Primici od financijske imovine i zaduživanja</w:t>
      </w:r>
    </w:p>
    <w:p w14:paraId="15D7F56D" w14:textId="77777777" w:rsidR="008564CC" w:rsidRPr="008564CC" w:rsidRDefault="008564CC" w:rsidP="008564CC">
      <w:pPr>
        <w:spacing w:after="0" w:line="360" w:lineRule="auto"/>
        <w:jc w:val="both"/>
        <w:rPr>
          <w:rFonts w:ascii="Times New Roman" w:eastAsia="SimSun" w:hAnsi="Times New Roman" w:cs="Times New Roman"/>
          <w:kern w:val="0"/>
          <w:lang w:eastAsia="hr-HR"/>
          <w14:ligatures w14:val="none"/>
        </w:rPr>
      </w:pPr>
      <w:r w:rsidRPr="008564CC">
        <w:rPr>
          <w:rFonts w:ascii="Times New Roman" w:eastAsia="SimSun" w:hAnsi="Times New Roman" w:cs="Times New Roman"/>
          <w:kern w:val="0"/>
          <w:lang w:eastAsia="hr-HR"/>
          <w14:ligatures w14:val="none"/>
        </w:rPr>
        <w:t>Primici od financijske imovine i zaduživanja nisu ostvareni u promatranom razdoblju ove godine.</w:t>
      </w:r>
    </w:p>
    <w:p w14:paraId="66DD0B0A" w14:textId="77777777" w:rsidR="008564CC" w:rsidRDefault="008564CC" w:rsidP="008564CC"/>
    <w:p w14:paraId="3997BC0B" w14:textId="77777777" w:rsidR="002E53C1" w:rsidRDefault="002E53C1" w:rsidP="008564CC"/>
    <w:p w14:paraId="47FE3925" w14:textId="77777777" w:rsidR="002E53C1" w:rsidRPr="002E53C1" w:rsidRDefault="002E53C1" w:rsidP="002E53C1">
      <w:pPr>
        <w:spacing w:after="0" w:line="240" w:lineRule="auto"/>
        <w:jc w:val="center"/>
        <w:rPr>
          <w:rFonts w:ascii="Times New Roman" w:eastAsia="SimSun" w:hAnsi="Times New Roman" w:cs="Times New Roman"/>
          <w:kern w:val="0"/>
          <w:lang w:eastAsia="hr-HR"/>
          <w14:ligatures w14:val="none"/>
        </w:rPr>
      </w:pPr>
      <w:r w:rsidRPr="002E53C1">
        <w:rPr>
          <w:rFonts w:ascii="Times New Roman" w:eastAsia="SimSun" w:hAnsi="Times New Roman" w:cs="Times New Roman"/>
          <w:b/>
          <w:bCs/>
          <w:kern w:val="0"/>
          <w:lang w:eastAsia="hr-HR"/>
          <w14:ligatures w14:val="none"/>
        </w:rPr>
        <w:t>OBRAZLOŽENJE OSTVARENJA RASHODA/IZDATAKA</w:t>
      </w:r>
    </w:p>
    <w:p w14:paraId="7EE31003" w14:textId="77777777" w:rsidR="002E53C1" w:rsidRPr="002E53C1" w:rsidRDefault="002E53C1" w:rsidP="002E53C1">
      <w:pPr>
        <w:spacing w:after="0" w:line="360" w:lineRule="auto"/>
        <w:ind w:firstLine="708"/>
        <w:jc w:val="both"/>
        <w:rPr>
          <w:rFonts w:ascii="Times New Roman" w:eastAsia="SimSun" w:hAnsi="Times New Roman" w:cs="Times New Roman"/>
          <w:kern w:val="0"/>
          <w:lang w:eastAsia="hr-HR"/>
          <w14:ligatures w14:val="none"/>
        </w:rPr>
      </w:pPr>
    </w:p>
    <w:p w14:paraId="74E16FAF" w14:textId="657A6052" w:rsidR="00693BEE" w:rsidRDefault="002E53C1" w:rsidP="002E53C1">
      <w:pPr>
        <w:spacing w:after="0" w:line="360" w:lineRule="auto"/>
        <w:jc w:val="both"/>
        <w:rPr>
          <w:rFonts w:ascii="Times New Roman" w:eastAsia="SimSun" w:hAnsi="Times New Roman" w:cs="Times New Roman"/>
          <w:kern w:val="0"/>
          <w:lang w:eastAsia="hr-HR"/>
          <w14:ligatures w14:val="none"/>
        </w:rPr>
      </w:pPr>
      <w:r w:rsidRPr="002E53C1">
        <w:rPr>
          <w:rFonts w:ascii="Times New Roman" w:eastAsia="SimSun" w:hAnsi="Times New Roman" w:cs="Times New Roman"/>
          <w:kern w:val="0"/>
          <w:lang w:eastAsia="hr-HR"/>
          <w14:ligatures w14:val="none"/>
        </w:rPr>
        <w:t xml:space="preserve">Realizacija rashoda i izdataka Dječjeg vrtića Ston u odnosu na isto razdoblje prošle godine veća je za </w:t>
      </w:r>
      <w:r w:rsidR="00E93541">
        <w:rPr>
          <w:rFonts w:ascii="Times New Roman" w:eastAsia="SimSun" w:hAnsi="Times New Roman" w:cs="Times New Roman"/>
          <w:kern w:val="0"/>
          <w:lang w:eastAsia="hr-HR"/>
          <w14:ligatures w14:val="none"/>
        </w:rPr>
        <w:t>25,28</w:t>
      </w:r>
      <w:r w:rsidRPr="002E53C1">
        <w:rPr>
          <w:rFonts w:ascii="Times New Roman" w:eastAsia="SimSun" w:hAnsi="Times New Roman" w:cs="Times New Roman"/>
          <w:kern w:val="0"/>
          <w:lang w:eastAsia="hr-HR"/>
          <w14:ligatures w14:val="none"/>
        </w:rPr>
        <w:t>%, a ostvarenje u odnosu na godišnji plan iznosi 9</w:t>
      </w:r>
      <w:r w:rsidR="00FB4048">
        <w:rPr>
          <w:rFonts w:ascii="Times New Roman" w:eastAsia="SimSun" w:hAnsi="Times New Roman" w:cs="Times New Roman"/>
          <w:kern w:val="0"/>
          <w:lang w:eastAsia="hr-HR"/>
          <w14:ligatures w14:val="none"/>
        </w:rPr>
        <w:t>9,01</w:t>
      </w:r>
      <w:r w:rsidRPr="002E53C1">
        <w:rPr>
          <w:rFonts w:ascii="Times New Roman" w:eastAsia="SimSun" w:hAnsi="Times New Roman" w:cs="Times New Roman"/>
          <w:kern w:val="0"/>
          <w:lang w:eastAsia="hr-HR"/>
          <w14:ligatures w14:val="none"/>
        </w:rPr>
        <w:t xml:space="preserve">%. Struktura rashoda pokazuje da su značajni  rashodi za zaposlene koji čine </w:t>
      </w:r>
      <w:r w:rsidR="00FB4048">
        <w:rPr>
          <w:rFonts w:ascii="Times New Roman" w:eastAsia="SimSun" w:hAnsi="Times New Roman" w:cs="Times New Roman"/>
          <w:kern w:val="0"/>
          <w:lang w:eastAsia="hr-HR"/>
          <w14:ligatures w14:val="none"/>
        </w:rPr>
        <w:t>84,80</w:t>
      </w:r>
      <w:r w:rsidRPr="002E53C1">
        <w:rPr>
          <w:rFonts w:ascii="Times New Roman" w:eastAsia="SimSun" w:hAnsi="Times New Roman" w:cs="Times New Roman"/>
          <w:kern w:val="0"/>
          <w:lang w:eastAsia="hr-HR"/>
          <w14:ligatures w14:val="none"/>
        </w:rPr>
        <w:t xml:space="preserve">% ukupnih rashoda, zatim materijalni rashodi koji čine </w:t>
      </w:r>
      <w:r w:rsidR="00FB4048">
        <w:rPr>
          <w:rFonts w:ascii="Times New Roman" w:eastAsia="SimSun" w:hAnsi="Times New Roman" w:cs="Times New Roman"/>
          <w:kern w:val="0"/>
          <w:lang w:eastAsia="hr-HR"/>
          <w14:ligatures w14:val="none"/>
        </w:rPr>
        <w:t>14,45</w:t>
      </w:r>
      <w:r w:rsidRPr="002E53C1">
        <w:rPr>
          <w:rFonts w:ascii="Times New Roman" w:eastAsia="SimSun" w:hAnsi="Times New Roman" w:cs="Times New Roman"/>
          <w:kern w:val="0"/>
          <w:lang w:eastAsia="hr-HR"/>
          <w14:ligatures w14:val="none"/>
        </w:rPr>
        <w:t>%, rashodi za nabavu proizvedene dugotrajne imovine koji čine 0,</w:t>
      </w:r>
      <w:r w:rsidR="00FB4048">
        <w:rPr>
          <w:rFonts w:ascii="Times New Roman" w:eastAsia="SimSun" w:hAnsi="Times New Roman" w:cs="Times New Roman"/>
          <w:kern w:val="0"/>
          <w:lang w:eastAsia="hr-HR"/>
          <w14:ligatures w14:val="none"/>
        </w:rPr>
        <w:t>60</w:t>
      </w:r>
      <w:r w:rsidRPr="002E53C1">
        <w:rPr>
          <w:rFonts w:ascii="Times New Roman" w:eastAsia="SimSun" w:hAnsi="Times New Roman" w:cs="Times New Roman"/>
          <w:kern w:val="0"/>
          <w:lang w:eastAsia="hr-HR"/>
          <w14:ligatures w14:val="none"/>
        </w:rPr>
        <w:t>%</w:t>
      </w:r>
      <w:r w:rsidR="00FB4048">
        <w:rPr>
          <w:rFonts w:ascii="Times New Roman" w:eastAsia="SimSun" w:hAnsi="Times New Roman" w:cs="Times New Roman"/>
          <w:kern w:val="0"/>
          <w:lang w:eastAsia="hr-HR"/>
          <w14:ligatures w14:val="none"/>
        </w:rPr>
        <w:t xml:space="preserve"> te financijski </w:t>
      </w:r>
      <w:r w:rsidRPr="002E53C1">
        <w:rPr>
          <w:rFonts w:ascii="Times New Roman" w:eastAsia="SimSun" w:hAnsi="Times New Roman" w:cs="Times New Roman"/>
          <w:kern w:val="0"/>
          <w:lang w:eastAsia="hr-HR"/>
          <w14:ligatures w14:val="none"/>
        </w:rPr>
        <w:t>rashodi čine 0,</w:t>
      </w:r>
      <w:r w:rsidR="00FB4048">
        <w:rPr>
          <w:rFonts w:ascii="Times New Roman" w:eastAsia="SimSun" w:hAnsi="Times New Roman" w:cs="Times New Roman"/>
          <w:kern w:val="0"/>
          <w:lang w:eastAsia="hr-HR"/>
          <w14:ligatures w14:val="none"/>
        </w:rPr>
        <w:t>15</w:t>
      </w:r>
      <w:r w:rsidRPr="002E53C1">
        <w:rPr>
          <w:rFonts w:ascii="Times New Roman" w:eastAsia="SimSun" w:hAnsi="Times New Roman" w:cs="Times New Roman"/>
          <w:kern w:val="0"/>
          <w:lang w:eastAsia="hr-HR"/>
          <w14:ligatures w14:val="none"/>
        </w:rPr>
        <w:t>% ukupnih rashoda.</w:t>
      </w:r>
    </w:p>
    <w:p w14:paraId="4D80B808" w14:textId="77777777" w:rsidR="002E53C1" w:rsidRPr="002E53C1" w:rsidRDefault="002E53C1" w:rsidP="002E53C1">
      <w:pPr>
        <w:spacing w:after="0" w:line="360" w:lineRule="auto"/>
        <w:jc w:val="both"/>
        <w:rPr>
          <w:rFonts w:ascii="Times New Roman" w:eastAsia="SimSun" w:hAnsi="Times New Roman" w:cs="Times New Roman"/>
          <w:kern w:val="0"/>
          <w:lang w:eastAsia="hr-HR"/>
          <w14:ligatures w14:val="none"/>
        </w:rPr>
      </w:pPr>
    </w:p>
    <w:tbl>
      <w:tblPr>
        <w:tblW w:w="11342" w:type="dxa"/>
        <w:jc w:val="center"/>
        <w:tblLayout w:type="fixed"/>
        <w:tblLook w:val="0000" w:firstRow="0" w:lastRow="0" w:firstColumn="0" w:lastColumn="0" w:noHBand="0" w:noVBand="0"/>
      </w:tblPr>
      <w:tblGrid>
        <w:gridCol w:w="2689"/>
        <w:gridCol w:w="1701"/>
        <w:gridCol w:w="1417"/>
        <w:gridCol w:w="1701"/>
        <w:gridCol w:w="1179"/>
        <w:gridCol w:w="1236"/>
        <w:gridCol w:w="1419"/>
      </w:tblGrid>
      <w:tr w:rsidR="00FB4048" w:rsidRPr="002E53C1" w14:paraId="7AD55684" w14:textId="77777777" w:rsidTr="00FB4048">
        <w:trPr>
          <w:trHeight w:val="495"/>
          <w:jc w:val="center"/>
        </w:trPr>
        <w:tc>
          <w:tcPr>
            <w:tcW w:w="2689" w:type="dxa"/>
            <w:tcBorders>
              <w:top w:val="single" w:sz="4" w:space="0" w:color="auto"/>
              <w:left w:val="single" w:sz="4" w:space="0" w:color="auto"/>
              <w:bottom w:val="single" w:sz="4" w:space="0" w:color="auto"/>
              <w:right w:val="single" w:sz="4" w:space="0" w:color="auto"/>
            </w:tcBorders>
            <w:shd w:val="clear" w:color="auto" w:fill="E7E6E6"/>
            <w:vAlign w:val="center"/>
          </w:tcPr>
          <w:p w14:paraId="162A4DD1" w14:textId="77777777" w:rsidR="002E53C1" w:rsidRPr="002E53C1" w:rsidRDefault="002E53C1" w:rsidP="002E53C1">
            <w:pPr>
              <w:spacing w:after="0" w:line="240" w:lineRule="auto"/>
              <w:jc w:val="center"/>
              <w:rPr>
                <w:rFonts w:ascii="Times New Roman" w:eastAsia="Times New Roman" w:hAnsi="Times New Roman" w:cs="Times New Roman"/>
                <w:b/>
                <w:kern w:val="0"/>
                <w:lang w:val="en-US" w:eastAsia="hr-HR"/>
                <w14:ligatures w14:val="none"/>
              </w:rPr>
            </w:pPr>
            <w:r w:rsidRPr="002E53C1">
              <w:rPr>
                <w:rFonts w:ascii="Times New Roman" w:eastAsia="Times New Roman" w:hAnsi="Times New Roman" w:cs="Times New Roman"/>
                <w:b/>
                <w:kern w:val="0"/>
                <w:lang w:val="en-US" w:eastAsia="hr-HR"/>
                <w14:ligatures w14:val="none"/>
              </w:rPr>
              <w:t>RASHODI</w:t>
            </w:r>
          </w:p>
        </w:tc>
        <w:tc>
          <w:tcPr>
            <w:tcW w:w="1701" w:type="dxa"/>
            <w:tcBorders>
              <w:top w:val="single" w:sz="4" w:space="0" w:color="auto"/>
              <w:left w:val="nil"/>
              <w:bottom w:val="single" w:sz="4" w:space="0" w:color="auto"/>
              <w:right w:val="single" w:sz="4" w:space="0" w:color="auto"/>
            </w:tcBorders>
            <w:shd w:val="clear" w:color="auto" w:fill="E7E6E6"/>
            <w:vAlign w:val="center"/>
          </w:tcPr>
          <w:p w14:paraId="6FF809CA" w14:textId="67955780" w:rsidR="002E53C1" w:rsidRPr="002E53C1" w:rsidRDefault="002E53C1" w:rsidP="002E53C1">
            <w:pPr>
              <w:spacing w:after="0" w:line="240" w:lineRule="auto"/>
              <w:jc w:val="center"/>
              <w:rPr>
                <w:rFonts w:ascii="Times New Roman" w:eastAsia="Times New Roman" w:hAnsi="Times New Roman" w:cs="Times New Roman"/>
                <w:b/>
                <w:kern w:val="0"/>
                <w:lang w:eastAsia="hr-HR"/>
                <w14:ligatures w14:val="none"/>
              </w:rPr>
            </w:pPr>
            <w:r w:rsidRPr="002E53C1">
              <w:rPr>
                <w:rFonts w:ascii="Times New Roman" w:eastAsia="Times New Roman" w:hAnsi="Times New Roman" w:cs="Times New Roman"/>
                <w:b/>
                <w:kern w:val="0"/>
                <w:lang w:eastAsia="hr-HR"/>
                <w14:ligatures w14:val="none"/>
              </w:rPr>
              <w:t>IZVRŠENJE 202</w:t>
            </w:r>
            <w:r>
              <w:rPr>
                <w:rFonts w:ascii="Times New Roman" w:eastAsia="Times New Roman" w:hAnsi="Times New Roman" w:cs="Times New Roman"/>
                <w:b/>
                <w:kern w:val="0"/>
                <w:lang w:val="en-US" w:eastAsia="hr-HR"/>
                <w14:ligatures w14:val="none"/>
              </w:rPr>
              <w:t>4</w:t>
            </w:r>
            <w:r w:rsidRPr="002E53C1">
              <w:rPr>
                <w:rFonts w:ascii="Times New Roman" w:eastAsia="Times New Roman" w:hAnsi="Times New Roman" w:cs="Times New Roman"/>
                <w:b/>
                <w:kern w:val="0"/>
                <w:lang w:eastAsia="hr-HR"/>
                <w14:ligatures w14:val="none"/>
              </w:rPr>
              <w:t>.</w:t>
            </w:r>
          </w:p>
        </w:tc>
        <w:tc>
          <w:tcPr>
            <w:tcW w:w="1417" w:type="dxa"/>
            <w:tcBorders>
              <w:top w:val="single" w:sz="4" w:space="0" w:color="auto"/>
              <w:left w:val="nil"/>
              <w:bottom w:val="single" w:sz="4" w:space="0" w:color="auto"/>
              <w:right w:val="single" w:sz="4" w:space="0" w:color="auto"/>
            </w:tcBorders>
            <w:shd w:val="clear" w:color="auto" w:fill="E7E6E6"/>
            <w:vAlign w:val="center"/>
          </w:tcPr>
          <w:p w14:paraId="199C736F" w14:textId="3A97A6A2" w:rsidR="002E53C1" w:rsidRPr="002E53C1" w:rsidRDefault="002E53C1" w:rsidP="002E53C1">
            <w:pPr>
              <w:spacing w:after="0" w:line="240" w:lineRule="auto"/>
              <w:jc w:val="center"/>
              <w:rPr>
                <w:rFonts w:ascii="Times New Roman" w:eastAsia="Times New Roman" w:hAnsi="Times New Roman" w:cs="Times New Roman"/>
                <w:b/>
                <w:kern w:val="0"/>
                <w:lang w:eastAsia="hr-HR"/>
                <w14:ligatures w14:val="none"/>
              </w:rPr>
            </w:pPr>
            <w:r w:rsidRPr="002E53C1">
              <w:rPr>
                <w:rFonts w:ascii="Times New Roman" w:eastAsia="Times New Roman" w:hAnsi="Times New Roman" w:cs="Times New Roman"/>
                <w:b/>
                <w:kern w:val="0"/>
                <w:lang w:eastAsia="hr-HR"/>
                <w14:ligatures w14:val="none"/>
              </w:rPr>
              <w:t>PLAN 202</w:t>
            </w:r>
            <w:r>
              <w:rPr>
                <w:rFonts w:ascii="Times New Roman" w:eastAsia="Times New Roman" w:hAnsi="Times New Roman" w:cs="Times New Roman"/>
                <w:b/>
                <w:kern w:val="0"/>
                <w:lang w:val="en-US" w:eastAsia="hr-HR"/>
                <w14:ligatures w14:val="none"/>
              </w:rPr>
              <w:t>5</w:t>
            </w:r>
            <w:r w:rsidRPr="002E53C1">
              <w:rPr>
                <w:rFonts w:ascii="Times New Roman" w:eastAsia="Times New Roman" w:hAnsi="Times New Roman" w:cs="Times New Roman"/>
                <w:b/>
                <w:kern w:val="0"/>
                <w:lang w:eastAsia="hr-HR"/>
                <w14:ligatures w14:val="none"/>
              </w:rPr>
              <w:t>.</w:t>
            </w:r>
          </w:p>
        </w:tc>
        <w:tc>
          <w:tcPr>
            <w:tcW w:w="1701" w:type="dxa"/>
            <w:tcBorders>
              <w:top w:val="single" w:sz="4" w:space="0" w:color="auto"/>
              <w:left w:val="nil"/>
              <w:bottom w:val="single" w:sz="4" w:space="0" w:color="auto"/>
              <w:right w:val="single" w:sz="4" w:space="0" w:color="auto"/>
            </w:tcBorders>
            <w:shd w:val="clear" w:color="auto" w:fill="E7E6E6"/>
            <w:vAlign w:val="center"/>
          </w:tcPr>
          <w:p w14:paraId="22053647" w14:textId="48292ED2" w:rsidR="002E53C1" w:rsidRPr="002E53C1" w:rsidRDefault="002E53C1" w:rsidP="002E53C1">
            <w:pPr>
              <w:spacing w:after="0" w:line="240" w:lineRule="auto"/>
              <w:jc w:val="center"/>
              <w:rPr>
                <w:rFonts w:ascii="Times New Roman" w:eastAsia="Times New Roman" w:hAnsi="Times New Roman" w:cs="Times New Roman"/>
                <w:b/>
                <w:kern w:val="0"/>
                <w:lang w:eastAsia="hr-HR"/>
                <w14:ligatures w14:val="none"/>
              </w:rPr>
            </w:pPr>
            <w:r w:rsidRPr="002E53C1">
              <w:rPr>
                <w:rFonts w:ascii="Times New Roman" w:eastAsia="Times New Roman" w:hAnsi="Times New Roman" w:cs="Times New Roman"/>
                <w:b/>
                <w:kern w:val="0"/>
                <w:lang w:eastAsia="hr-HR"/>
                <w14:ligatures w14:val="none"/>
              </w:rPr>
              <w:t>IZVRŠENJE 202</w:t>
            </w:r>
            <w:r>
              <w:rPr>
                <w:rFonts w:ascii="Times New Roman" w:eastAsia="Times New Roman" w:hAnsi="Times New Roman" w:cs="Times New Roman"/>
                <w:b/>
                <w:kern w:val="0"/>
                <w:lang w:val="en-US" w:eastAsia="hr-HR"/>
                <w14:ligatures w14:val="none"/>
              </w:rPr>
              <w:t>5</w:t>
            </w:r>
            <w:r w:rsidRPr="002E53C1">
              <w:rPr>
                <w:rFonts w:ascii="Times New Roman" w:eastAsia="Times New Roman" w:hAnsi="Times New Roman" w:cs="Times New Roman"/>
                <w:b/>
                <w:kern w:val="0"/>
                <w:lang w:eastAsia="hr-HR"/>
                <w14:ligatures w14:val="none"/>
              </w:rPr>
              <w:t>.</w:t>
            </w:r>
          </w:p>
        </w:tc>
        <w:tc>
          <w:tcPr>
            <w:tcW w:w="1179" w:type="dxa"/>
            <w:tcBorders>
              <w:top w:val="single" w:sz="4" w:space="0" w:color="auto"/>
              <w:left w:val="nil"/>
              <w:bottom w:val="single" w:sz="4" w:space="0" w:color="auto"/>
              <w:right w:val="single" w:sz="4" w:space="0" w:color="auto"/>
            </w:tcBorders>
            <w:shd w:val="clear" w:color="auto" w:fill="E7E6E6"/>
            <w:vAlign w:val="center"/>
          </w:tcPr>
          <w:p w14:paraId="3D000A2D" w14:textId="77777777" w:rsidR="002E53C1" w:rsidRPr="002E53C1" w:rsidRDefault="002E53C1" w:rsidP="002E53C1">
            <w:pPr>
              <w:spacing w:after="0" w:line="240" w:lineRule="auto"/>
              <w:jc w:val="center"/>
              <w:rPr>
                <w:rFonts w:ascii="Times New Roman" w:eastAsia="Times New Roman" w:hAnsi="Times New Roman" w:cs="Times New Roman"/>
                <w:b/>
                <w:kern w:val="0"/>
                <w:lang w:eastAsia="hr-HR"/>
                <w14:ligatures w14:val="none"/>
              </w:rPr>
            </w:pPr>
            <w:r w:rsidRPr="002E53C1">
              <w:rPr>
                <w:rFonts w:ascii="Times New Roman" w:eastAsia="Times New Roman" w:hAnsi="Times New Roman" w:cs="Times New Roman"/>
                <w:b/>
                <w:kern w:val="0"/>
                <w:lang w:eastAsia="hr-HR"/>
                <w14:ligatures w14:val="none"/>
              </w:rPr>
              <w:t>% učešća</w:t>
            </w:r>
          </w:p>
        </w:tc>
        <w:tc>
          <w:tcPr>
            <w:tcW w:w="1236" w:type="dxa"/>
            <w:tcBorders>
              <w:top w:val="single" w:sz="4" w:space="0" w:color="auto"/>
              <w:left w:val="nil"/>
              <w:bottom w:val="single" w:sz="4" w:space="0" w:color="auto"/>
              <w:right w:val="single" w:sz="4" w:space="0" w:color="auto"/>
            </w:tcBorders>
            <w:shd w:val="clear" w:color="auto" w:fill="E7E6E6"/>
            <w:vAlign w:val="center"/>
          </w:tcPr>
          <w:p w14:paraId="459325A8" w14:textId="77777777" w:rsidR="002E53C1" w:rsidRPr="002E53C1" w:rsidRDefault="002E53C1" w:rsidP="002E53C1">
            <w:pPr>
              <w:spacing w:after="0" w:line="240" w:lineRule="auto"/>
              <w:jc w:val="center"/>
              <w:rPr>
                <w:rFonts w:ascii="Times New Roman" w:eastAsia="Times New Roman" w:hAnsi="Times New Roman" w:cs="Times New Roman"/>
                <w:b/>
                <w:kern w:val="0"/>
                <w:lang w:eastAsia="hr-HR"/>
                <w14:ligatures w14:val="none"/>
              </w:rPr>
            </w:pPr>
            <w:r w:rsidRPr="002E53C1">
              <w:rPr>
                <w:rFonts w:ascii="Times New Roman" w:eastAsia="Times New Roman" w:hAnsi="Times New Roman" w:cs="Times New Roman"/>
                <w:b/>
                <w:kern w:val="0"/>
                <w:lang w:eastAsia="hr-HR"/>
                <w14:ligatures w14:val="none"/>
              </w:rPr>
              <w:t>% izvršenja</w:t>
            </w:r>
          </w:p>
        </w:tc>
        <w:tc>
          <w:tcPr>
            <w:tcW w:w="1419" w:type="dxa"/>
            <w:tcBorders>
              <w:top w:val="single" w:sz="4" w:space="0" w:color="auto"/>
              <w:left w:val="nil"/>
              <w:bottom w:val="single" w:sz="4" w:space="0" w:color="auto"/>
              <w:right w:val="single" w:sz="4" w:space="0" w:color="auto"/>
            </w:tcBorders>
            <w:shd w:val="clear" w:color="auto" w:fill="E7E6E6"/>
            <w:vAlign w:val="center"/>
          </w:tcPr>
          <w:p w14:paraId="3918788C" w14:textId="4449C873" w:rsidR="002E53C1" w:rsidRPr="002E53C1" w:rsidRDefault="002E53C1" w:rsidP="002E53C1">
            <w:pPr>
              <w:spacing w:after="0" w:line="240" w:lineRule="auto"/>
              <w:jc w:val="center"/>
              <w:rPr>
                <w:rFonts w:ascii="Times New Roman" w:eastAsia="Times New Roman" w:hAnsi="Times New Roman" w:cs="Times New Roman"/>
                <w:b/>
                <w:kern w:val="0"/>
                <w:lang w:eastAsia="hr-HR"/>
                <w14:ligatures w14:val="none"/>
              </w:rPr>
            </w:pPr>
            <w:r w:rsidRPr="002E53C1">
              <w:rPr>
                <w:rFonts w:ascii="Times New Roman" w:eastAsia="Times New Roman" w:hAnsi="Times New Roman" w:cs="Times New Roman"/>
                <w:b/>
                <w:kern w:val="0"/>
                <w:lang w:eastAsia="hr-HR"/>
                <w14:ligatures w14:val="none"/>
              </w:rPr>
              <w:t>Indeks 202</w:t>
            </w:r>
            <w:r>
              <w:rPr>
                <w:rFonts w:ascii="Times New Roman" w:eastAsia="Times New Roman" w:hAnsi="Times New Roman" w:cs="Times New Roman"/>
                <w:b/>
                <w:kern w:val="0"/>
                <w:lang w:val="en-US" w:eastAsia="hr-HR"/>
                <w14:ligatures w14:val="none"/>
              </w:rPr>
              <w:t>5</w:t>
            </w:r>
            <w:r w:rsidRPr="002E53C1">
              <w:rPr>
                <w:rFonts w:ascii="Times New Roman" w:eastAsia="Times New Roman" w:hAnsi="Times New Roman" w:cs="Times New Roman"/>
                <w:b/>
                <w:kern w:val="0"/>
                <w:lang w:eastAsia="hr-HR"/>
                <w14:ligatures w14:val="none"/>
              </w:rPr>
              <w:t>./202</w:t>
            </w:r>
            <w:r>
              <w:rPr>
                <w:rFonts w:ascii="Times New Roman" w:eastAsia="Times New Roman" w:hAnsi="Times New Roman" w:cs="Times New Roman"/>
                <w:b/>
                <w:kern w:val="0"/>
                <w:lang w:val="en-US" w:eastAsia="hr-HR"/>
                <w14:ligatures w14:val="none"/>
              </w:rPr>
              <w:t>4</w:t>
            </w:r>
            <w:r w:rsidRPr="002E53C1">
              <w:rPr>
                <w:rFonts w:ascii="Times New Roman" w:eastAsia="Times New Roman" w:hAnsi="Times New Roman" w:cs="Times New Roman"/>
                <w:b/>
                <w:kern w:val="0"/>
                <w:lang w:eastAsia="hr-HR"/>
                <w14:ligatures w14:val="none"/>
              </w:rPr>
              <w:t>.</w:t>
            </w:r>
          </w:p>
        </w:tc>
      </w:tr>
      <w:tr w:rsidR="00FB4048" w:rsidRPr="002E53C1" w14:paraId="113A83C3" w14:textId="77777777" w:rsidTr="00FB4048">
        <w:trPr>
          <w:trHeight w:val="344"/>
          <w:jc w:val="center"/>
        </w:trPr>
        <w:tc>
          <w:tcPr>
            <w:tcW w:w="2689" w:type="dxa"/>
            <w:tcBorders>
              <w:top w:val="nil"/>
              <w:left w:val="single" w:sz="4" w:space="0" w:color="auto"/>
              <w:bottom w:val="single" w:sz="4" w:space="0" w:color="auto"/>
              <w:right w:val="single" w:sz="4" w:space="0" w:color="auto"/>
            </w:tcBorders>
            <w:vAlign w:val="center"/>
          </w:tcPr>
          <w:p w14:paraId="656506FA" w14:textId="77777777" w:rsidR="002E53C1" w:rsidRPr="002E53C1" w:rsidRDefault="002E53C1" w:rsidP="002E53C1">
            <w:pPr>
              <w:spacing w:after="0" w:line="240" w:lineRule="auto"/>
              <w:rPr>
                <w:rFonts w:ascii="Times New Roman" w:eastAsia="Times New Roman" w:hAnsi="Times New Roman" w:cs="Times New Roman"/>
                <w:kern w:val="0"/>
                <w:lang w:val="en-US" w:eastAsia="hr-HR"/>
                <w14:ligatures w14:val="none"/>
              </w:rPr>
            </w:pPr>
            <w:r w:rsidRPr="002E53C1">
              <w:rPr>
                <w:rFonts w:ascii="Times New Roman" w:eastAsia="Times New Roman" w:hAnsi="Times New Roman" w:cs="Times New Roman"/>
                <w:kern w:val="0"/>
                <w:lang w:val="en-US" w:eastAsia="hr-HR"/>
                <w14:ligatures w14:val="none"/>
              </w:rPr>
              <w:t>RASHODI ZA ZAPOSLENE</w:t>
            </w:r>
          </w:p>
        </w:tc>
        <w:tc>
          <w:tcPr>
            <w:tcW w:w="1701" w:type="dxa"/>
            <w:tcBorders>
              <w:top w:val="nil"/>
              <w:left w:val="nil"/>
              <w:bottom w:val="single" w:sz="4" w:space="0" w:color="auto"/>
              <w:right w:val="single" w:sz="4" w:space="0" w:color="auto"/>
            </w:tcBorders>
            <w:noWrap/>
            <w:vAlign w:val="center"/>
          </w:tcPr>
          <w:p w14:paraId="6FC99CEE" w14:textId="218AEC68" w:rsidR="002E53C1" w:rsidRPr="002E53C1" w:rsidRDefault="002E53C1" w:rsidP="002E53C1">
            <w:pPr>
              <w:spacing w:after="0" w:line="240" w:lineRule="auto"/>
              <w:jc w:val="right"/>
              <w:textAlignment w:val="top"/>
              <w:rPr>
                <w:rFonts w:ascii="Times New Roman" w:eastAsia="SimSun" w:hAnsi="Times New Roman" w:cs="Times New Roman"/>
                <w:kern w:val="0"/>
                <w:lang w:eastAsia="hr-HR"/>
                <w14:ligatures w14:val="none"/>
              </w:rPr>
            </w:pPr>
            <w:r>
              <w:rPr>
                <w:rFonts w:ascii="Times New Roman" w:eastAsia="SimSun" w:hAnsi="Times New Roman" w:cs="Times New Roman"/>
                <w:kern w:val="0"/>
                <w:lang w:eastAsia="hr-HR"/>
                <w14:ligatures w14:val="none"/>
              </w:rPr>
              <w:t>316.183,29</w:t>
            </w:r>
          </w:p>
        </w:tc>
        <w:tc>
          <w:tcPr>
            <w:tcW w:w="1417" w:type="dxa"/>
            <w:tcBorders>
              <w:top w:val="nil"/>
              <w:left w:val="nil"/>
              <w:bottom w:val="single" w:sz="4" w:space="0" w:color="auto"/>
              <w:right w:val="single" w:sz="4" w:space="0" w:color="auto"/>
            </w:tcBorders>
            <w:noWrap/>
            <w:vAlign w:val="center"/>
          </w:tcPr>
          <w:p w14:paraId="249636D2" w14:textId="1D8EC22A"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429.630,00</w:t>
            </w:r>
          </w:p>
        </w:tc>
        <w:tc>
          <w:tcPr>
            <w:tcW w:w="1701" w:type="dxa"/>
            <w:tcBorders>
              <w:top w:val="nil"/>
              <w:left w:val="nil"/>
              <w:bottom w:val="single" w:sz="4" w:space="0" w:color="auto"/>
              <w:right w:val="single" w:sz="4" w:space="0" w:color="auto"/>
            </w:tcBorders>
            <w:noWrap/>
            <w:vAlign w:val="center"/>
          </w:tcPr>
          <w:p w14:paraId="31C1E08B" w14:textId="510F1745"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427.910,87</w:t>
            </w:r>
          </w:p>
        </w:tc>
        <w:tc>
          <w:tcPr>
            <w:tcW w:w="1179" w:type="dxa"/>
            <w:tcBorders>
              <w:top w:val="nil"/>
              <w:left w:val="nil"/>
              <w:bottom w:val="single" w:sz="4" w:space="0" w:color="auto"/>
              <w:right w:val="single" w:sz="4" w:space="0" w:color="auto"/>
            </w:tcBorders>
            <w:noWrap/>
            <w:vAlign w:val="center"/>
          </w:tcPr>
          <w:p w14:paraId="75D00E8F" w14:textId="5333CCA5" w:rsidR="002E53C1" w:rsidRPr="002E53C1" w:rsidRDefault="00E9354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84,80</w:t>
            </w:r>
          </w:p>
        </w:tc>
        <w:tc>
          <w:tcPr>
            <w:tcW w:w="1236" w:type="dxa"/>
            <w:tcBorders>
              <w:top w:val="nil"/>
              <w:left w:val="nil"/>
              <w:bottom w:val="single" w:sz="4" w:space="0" w:color="auto"/>
              <w:right w:val="single" w:sz="4" w:space="0" w:color="auto"/>
            </w:tcBorders>
            <w:noWrap/>
            <w:vAlign w:val="center"/>
          </w:tcPr>
          <w:p w14:paraId="49CB6A87" w14:textId="5500B820"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sidRPr="002E53C1">
              <w:rPr>
                <w:rFonts w:ascii="Times New Roman" w:eastAsia="Times New Roman" w:hAnsi="Times New Roman" w:cs="Times New Roman"/>
                <w:kern w:val="0"/>
                <w:lang w:eastAsia="hr-HR"/>
                <w14:ligatures w14:val="none"/>
              </w:rPr>
              <w:t>9</w:t>
            </w:r>
            <w:r>
              <w:rPr>
                <w:rFonts w:ascii="Times New Roman" w:eastAsia="Times New Roman" w:hAnsi="Times New Roman" w:cs="Times New Roman"/>
                <w:kern w:val="0"/>
                <w:lang w:eastAsia="hr-HR"/>
                <w14:ligatures w14:val="none"/>
              </w:rPr>
              <w:t>9,60</w:t>
            </w:r>
          </w:p>
        </w:tc>
        <w:tc>
          <w:tcPr>
            <w:tcW w:w="1419" w:type="dxa"/>
            <w:tcBorders>
              <w:top w:val="nil"/>
              <w:left w:val="nil"/>
              <w:bottom w:val="single" w:sz="4" w:space="0" w:color="auto"/>
              <w:right w:val="single" w:sz="4" w:space="0" w:color="auto"/>
            </w:tcBorders>
            <w:noWrap/>
            <w:vAlign w:val="center"/>
          </w:tcPr>
          <w:p w14:paraId="1BC28A26" w14:textId="7B4ABBB3" w:rsidR="002E53C1" w:rsidRPr="002E53C1" w:rsidRDefault="00E9354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1</w:t>
            </w:r>
            <w:r w:rsidR="002E53C1">
              <w:rPr>
                <w:rFonts w:ascii="Times New Roman" w:eastAsia="Times New Roman" w:hAnsi="Times New Roman" w:cs="Times New Roman"/>
                <w:kern w:val="0"/>
                <w:lang w:eastAsia="hr-HR"/>
                <w14:ligatures w14:val="none"/>
              </w:rPr>
              <w:t>35,34</w:t>
            </w:r>
          </w:p>
        </w:tc>
      </w:tr>
      <w:tr w:rsidR="00FB4048" w:rsidRPr="002E53C1" w14:paraId="6CF86848" w14:textId="77777777" w:rsidTr="00FB4048">
        <w:trPr>
          <w:trHeight w:val="545"/>
          <w:jc w:val="center"/>
        </w:trPr>
        <w:tc>
          <w:tcPr>
            <w:tcW w:w="2689" w:type="dxa"/>
            <w:tcBorders>
              <w:top w:val="nil"/>
              <w:left w:val="single" w:sz="4" w:space="0" w:color="auto"/>
              <w:bottom w:val="single" w:sz="4" w:space="0" w:color="auto"/>
              <w:right w:val="single" w:sz="4" w:space="0" w:color="auto"/>
            </w:tcBorders>
            <w:vAlign w:val="center"/>
          </w:tcPr>
          <w:p w14:paraId="0CDD8CE9" w14:textId="77777777" w:rsidR="002E53C1" w:rsidRPr="002E53C1" w:rsidRDefault="002E53C1" w:rsidP="002E53C1">
            <w:pPr>
              <w:spacing w:after="0" w:line="240" w:lineRule="auto"/>
              <w:rPr>
                <w:rFonts w:ascii="Times New Roman" w:eastAsia="Times New Roman" w:hAnsi="Times New Roman" w:cs="Times New Roman"/>
                <w:kern w:val="0"/>
                <w:lang w:val="en-US" w:eastAsia="hr-HR"/>
                <w14:ligatures w14:val="none"/>
              </w:rPr>
            </w:pPr>
            <w:r w:rsidRPr="002E53C1">
              <w:rPr>
                <w:rFonts w:ascii="Times New Roman" w:eastAsia="Times New Roman" w:hAnsi="Times New Roman" w:cs="Times New Roman"/>
                <w:kern w:val="0"/>
                <w:lang w:val="en-US" w:eastAsia="hr-HR"/>
                <w14:ligatures w14:val="none"/>
              </w:rPr>
              <w:t>MATERIJALNI RASHODI</w:t>
            </w:r>
          </w:p>
        </w:tc>
        <w:tc>
          <w:tcPr>
            <w:tcW w:w="1701" w:type="dxa"/>
            <w:tcBorders>
              <w:top w:val="nil"/>
              <w:left w:val="nil"/>
              <w:bottom w:val="single" w:sz="4" w:space="0" w:color="auto"/>
              <w:right w:val="single" w:sz="4" w:space="0" w:color="auto"/>
            </w:tcBorders>
            <w:noWrap/>
            <w:vAlign w:val="center"/>
          </w:tcPr>
          <w:p w14:paraId="2A737B8C" w14:textId="4393C60D"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82.254,21</w:t>
            </w:r>
          </w:p>
        </w:tc>
        <w:tc>
          <w:tcPr>
            <w:tcW w:w="1417" w:type="dxa"/>
            <w:tcBorders>
              <w:top w:val="nil"/>
              <w:left w:val="nil"/>
              <w:bottom w:val="single" w:sz="4" w:space="0" w:color="auto"/>
              <w:right w:val="single" w:sz="4" w:space="0" w:color="auto"/>
            </w:tcBorders>
            <w:noWrap/>
            <w:vAlign w:val="center"/>
          </w:tcPr>
          <w:p w14:paraId="2B57667A" w14:textId="54585DFF"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75.680,00</w:t>
            </w:r>
          </w:p>
        </w:tc>
        <w:tc>
          <w:tcPr>
            <w:tcW w:w="1701" w:type="dxa"/>
            <w:tcBorders>
              <w:top w:val="nil"/>
              <w:left w:val="nil"/>
              <w:bottom w:val="single" w:sz="4" w:space="0" w:color="auto"/>
              <w:right w:val="single" w:sz="4" w:space="0" w:color="auto"/>
            </w:tcBorders>
            <w:noWrap/>
            <w:vAlign w:val="center"/>
          </w:tcPr>
          <w:p w14:paraId="53032E23" w14:textId="1BA59D7D"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72.892,79</w:t>
            </w:r>
          </w:p>
        </w:tc>
        <w:tc>
          <w:tcPr>
            <w:tcW w:w="1179" w:type="dxa"/>
            <w:tcBorders>
              <w:top w:val="nil"/>
              <w:left w:val="nil"/>
              <w:bottom w:val="single" w:sz="4" w:space="0" w:color="auto"/>
              <w:right w:val="single" w:sz="4" w:space="0" w:color="auto"/>
            </w:tcBorders>
            <w:noWrap/>
            <w:vAlign w:val="center"/>
          </w:tcPr>
          <w:p w14:paraId="3C0DCA0F" w14:textId="68027DAD" w:rsidR="002E53C1" w:rsidRPr="002E53C1" w:rsidRDefault="00E9354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14,45</w:t>
            </w:r>
          </w:p>
        </w:tc>
        <w:tc>
          <w:tcPr>
            <w:tcW w:w="1236" w:type="dxa"/>
            <w:tcBorders>
              <w:top w:val="nil"/>
              <w:left w:val="nil"/>
              <w:bottom w:val="single" w:sz="4" w:space="0" w:color="auto"/>
              <w:right w:val="single" w:sz="4" w:space="0" w:color="auto"/>
            </w:tcBorders>
            <w:noWrap/>
            <w:vAlign w:val="center"/>
          </w:tcPr>
          <w:p w14:paraId="780D7704" w14:textId="601B40F6"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sidRPr="002E53C1">
              <w:rPr>
                <w:rFonts w:ascii="Times New Roman" w:eastAsia="Times New Roman" w:hAnsi="Times New Roman" w:cs="Times New Roman"/>
                <w:kern w:val="0"/>
                <w:lang w:eastAsia="hr-HR"/>
                <w14:ligatures w14:val="none"/>
              </w:rPr>
              <w:t>9</w:t>
            </w:r>
            <w:r>
              <w:rPr>
                <w:rFonts w:ascii="Times New Roman" w:eastAsia="Times New Roman" w:hAnsi="Times New Roman" w:cs="Times New Roman"/>
                <w:kern w:val="0"/>
                <w:lang w:eastAsia="hr-HR"/>
                <w14:ligatures w14:val="none"/>
              </w:rPr>
              <w:t>6,32</w:t>
            </w:r>
          </w:p>
        </w:tc>
        <w:tc>
          <w:tcPr>
            <w:tcW w:w="1419" w:type="dxa"/>
            <w:tcBorders>
              <w:top w:val="nil"/>
              <w:left w:val="nil"/>
              <w:bottom w:val="single" w:sz="4" w:space="0" w:color="auto"/>
              <w:right w:val="single" w:sz="4" w:space="0" w:color="auto"/>
            </w:tcBorders>
            <w:noWrap/>
            <w:vAlign w:val="center"/>
          </w:tcPr>
          <w:p w14:paraId="379BBEED" w14:textId="529A10C4"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88,62</w:t>
            </w:r>
          </w:p>
        </w:tc>
      </w:tr>
      <w:tr w:rsidR="00FB4048" w:rsidRPr="002E53C1" w14:paraId="40DDA6A6" w14:textId="77777777" w:rsidTr="00FB4048">
        <w:trPr>
          <w:trHeight w:val="557"/>
          <w:jc w:val="center"/>
        </w:trPr>
        <w:tc>
          <w:tcPr>
            <w:tcW w:w="2689" w:type="dxa"/>
            <w:tcBorders>
              <w:top w:val="nil"/>
              <w:left w:val="single" w:sz="4" w:space="0" w:color="auto"/>
              <w:bottom w:val="single" w:sz="4" w:space="0" w:color="auto"/>
              <w:right w:val="single" w:sz="4" w:space="0" w:color="auto"/>
            </w:tcBorders>
            <w:vAlign w:val="center"/>
          </w:tcPr>
          <w:p w14:paraId="10C5785D" w14:textId="77777777" w:rsidR="002E53C1" w:rsidRPr="002E53C1" w:rsidRDefault="002E53C1" w:rsidP="002E53C1">
            <w:pPr>
              <w:spacing w:after="0" w:line="240" w:lineRule="auto"/>
              <w:rPr>
                <w:rFonts w:ascii="Times New Roman" w:eastAsia="Times New Roman" w:hAnsi="Times New Roman" w:cs="Times New Roman"/>
                <w:kern w:val="0"/>
                <w:lang w:val="en-US" w:eastAsia="hr-HR"/>
                <w14:ligatures w14:val="none"/>
              </w:rPr>
            </w:pPr>
            <w:r w:rsidRPr="002E53C1">
              <w:rPr>
                <w:rFonts w:ascii="Times New Roman" w:eastAsia="Times New Roman" w:hAnsi="Times New Roman" w:cs="Times New Roman"/>
                <w:kern w:val="0"/>
                <w:lang w:val="en-US" w:eastAsia="hr-HR"/>
                <w14:ligatures w14:val="none"/>
              </w:rPr>
              <w:t>FINANCIJSKI RASHODI</w:t>
            </w:r>
          </w:p>
        </w:tc>
        <w:tc>
          <w:tcPr>
            <w:tcW w:w="1701" w:type="dxa"/>
            <w:tcBorders>
              <w:top w:val="nil"/>
              <w:left w:val="nil"/>
              <w:bottom w:val="single" w:sz="4" w:space="0" w:color="auto"/>
              <w:right w:val="single" w:sz="4" w:space="0" w:color="auto"/>
            </w:tcBorders>
            <w:noWrap/>
            <w:vAlign w:val="center"/>
          </w:tcPr>
          <w:p w14:paraId="02A731F9" w14:textId="3F789C89"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821,94</w:t>
            </w:r>
          </w:p>
        </w:tc>
        <w:tc>
          <w:tcPr>
            <w:tcW w:w="1417" w:type="dxa"/>
            <w:tcBorders>
              <w:top w:val="nil"/>
              <w:left w:val="nil"/>
              <w:bottom w:val="single" w:sz="4" w:space="0" w:color="auto"/>
              <w:right w:val="single" w:sz="4" w:space="0" w:color="auto"/>
            </w:tcBorders>
            <w:noWrap/>
            <w:vAlign w:val="center"/>
          </w:tcPr>
          <w:p w14:paraId="6334DB0C" w14:textId="77777777"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sidRPr="002E53C1">
              <w:rPr>
                <w:rFonts w:ascii="Times New Roman" w:eastAsia="Times New Roman" w:hAnsi="Times New Roman" w:cs="Times New Roman"/>
                <w:kern w:val="0"/>
                <w:lang w:eastAsia="hr-HR"/>
                <w14:ligatures w14:val="none"/>
              </w:rPr>
              <w:t>800,00</w:t>
            </w:r>
          </w:p>
        </w:tc>
        <w:tc>
          <w:tcPr>
            <w:tcW w:w="1701" w:type="dxa"/>
            <w:tcBorders>
              <w:top w:val="nil"/>
              <w:left w:val="nil"/>
              <w:bottom w:val="single" w:sz="4" w:space="0" w:color="auto"/>
              <w:right w:val="single" w:sz="4" w:space="0" w:color="auto"/>
            </w:tcBorders>
            <w:noWrap/>
            <w:vAlign w:val="center"/>
          </w:tcPr>
          <w:p w14:paraId="7DC44109" w14:textId="7F0E9BFB"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790,17</w:t>
            </w:r>
          </w:p>
        </w:tc>
        <w:tc>
          <w:tcPr>
            <w:tcW w:w="1179" w:type="dxa"/>
            <w:tcBorders>
              <w:top w:val="nil"/>
              <w:left w:val="nil"/>
              <w:bottom w:val="single" w:sz="4" w:space="0" w:color="auto"/>
              <w:right w:val="single" w:sz="4" w:space="0" w:color="auto"/>
            </w:tcBorders>
            <w:noWrap/>
            <w:vAlign w:val="center"/>
          </w:tcPr>
          <w:p w14:paraId="6CFFF9C4" w14:textId="4F4C5144" w:rsidR="002E53C1" w:rsidRPr="002E53C1" w:rsidRDefault="00E9354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0,15</w:t>
            </w:r>
          </w:p>
        </w:tc>
        <w:tc>
          <w:tcPr>
            <w:tcW w:w="1236" w:type="dxa"/>
            <w:tcBorders>
              <w:top w:val="nil"/>
              <w:left w:val="nil"/>
              <w:bottom w:val="single" w:sz="4" w:space="0" w:color="auto"/>
              <w:right w:val="single" w:sz="4" w:space="0" w:color="auto"/>
            </w:tcBorders>
            <w:noWrap/>
            <w:vAlign w:val="center"/>
          </w:tcPr>
          <w:p w14:paraId="331DCC04" w14:textId="7E49C6E5"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98,77</w:t>
            </w:r>
          </w:p>
        </w:tc>
        <w:tc>
          <w:tcPr>
            <w:tcW w:w="1419" w:type="dxa"/>
            <w:tcBorders>
              <w:top w:val="nil"/>
              <w:left w:val="nil"/>
              <w:bottom w:val="single" w:sz="4" w:space="0" w:color="auto"/>
              <w:right w:val="single" w:sz="4" w:space="0" w:color="auto"/>
            </w:tcBorders>
            <w:noWrap/>
            <w:vAlign w:val="center"/>
          </w:tcPr>
          <w:p w14:paraId="19287A04" w14:textId="6640E650"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98,13</w:t>
            </w:r>
          </w:p>
        </w:tc>
      </w:tr>
      <w:tr w:rsidR="00FB4048" w:rsidRPr="002E53C1" w14:paraId="75836C74" w14:textId="77777777" w:rsidTr="00FB4048">
        <w:trPr>
          <w:trHeight w:val="495"/>
          <w:jc w:val="center"/>
        </w:trPr>
        <w:tc>
          <w:tcPr>
            <w:tcW w:w="2689" w:type="dxa"/>
            <w:tcBorders>
              <w:top w:val="nil"/>
              <w:left w:val="single" w:sz="4" w:space="0" w:color="auto"/>
              <w:bottom w:val="single" w:sz="4" w:space="0" w:color="auto"/>
              <w:right w:val="single" w:sz="4" w:space="0" w:color="auto"/>
            </w:tcBorders>
            <w:vAlign w:val="center"/>
          </w:tcPr>
          <w:p w14:paraId="238DD5CF" w14:textId="40883E0A" w:rsidR="00FB4048" w:rsidRPr="002E53C1" w:rsidRDefault="00FB4048" w:rsidP="002E53C1">
            <w:pPr>
              <w:spacing w:after="0" w:line="240" w:lineRule="auto"/>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RASHODI ZA NABAVU NEPROIZV. DUGOTR. IMOV.</w:t>
            </w:r>
          </w:p>
        </w:tc>
        <w:tc>
          <w:tcPr>
            <w:tcW w:w="1701" w:type="dxa"/>
            <w:tcBorders>
              <w:top w:val="nil"/>
              <w:left w:val="nil"/>
              <w:bottom w:val="single" w:sz="4" w:space="0" w:color="auto"/>
              <w:right w:val="single" w:sz="4" w:space="0" w:color="auto"/>
            </w:tcBorders>
            <w:noWrap/>
            <w:vAlign w:val="center"/>
          </w:tcPr>
          <w:p w14:paraId="13503673" w14:textId="15E786BA" w:rsidR="00FB4048" w:rsidRDefault="00FB4048"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400,00</w:t>
            </w:r>
          </w:p>
        </w:tc>
        <w:tc>
          <w:tcPr>
            <w:tcW w:w="1417" w:type="dxa"/>
            <w:tcBorders>
              <w:top w:val="nil"/>
              <w:left w:val="nil"/>
              <w:bottom w:val="single" w:sz="4" w:space="0" w:color="auto"/>
              <w:right w:val="single" w:sz="4" w:space="0" w:color="auto"/>
            </w:tcBorders>
            <w:noWrap/>
            <w:vAlign w:val="center"/>
          </w:tcPr>
          <w:p w14:paraId="0745A1DD" w14:textId="05421DF7" w:rsidR="00FB4048" w:rsidRPr="002E53C1" w:rsidRDefault="00FB4048"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0,00</w:t>
            </w:r>
          </w:p>
        </w:tc>
        <w:tc>
          <w:tcPr>
            <w:tcW w:w="1701" w:type="dxa"/>
            <w:tcBorders>
              <w:top w:val="nil"/>
              <w:left w:val="nil"/>
              <w:bottom w:val="single" w:sz="4" w:space="0" w:color="auto"/>
              <w:right w:val="single" w:sz="4" w:space="0" w:color="auto"/>
            </w:tcBorders>
            <w:noWrap/>
            <w:vAlign w:val="center"/>
          </w:tcPr>
          <w:p w14:paraId="155F44B9" w14:textId="46A3767B" w:rsidR="00FB4048" w:rsidRDefault="00FB4048"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0,00</w:t>
            </w:r>
          </w:p>
        </w:tc>
        <w:tc>
          <w:tcPr>
            <w:tcW w:w="1179" w:type="dxa"/>
            <w:tcBorders>
              <w:top w:val="nil"/>
              <w:left w:val="nil"/>
              <w:bottom w:val="single" w:sz="4" w:space="0" w:color="auto"/>
              <w:right w:val="single" w:sz="4" w:space="0" w:color="auto"/>
            </w:tcBorders>
            <w:noWrap/>
            <w:vAlign w:val="center"/>
          </w:tcPr>
          <w:p w14:paraId="02DC31D8" w14:textId="08051CB6" w:rsidR="00FB4048" w:rsidRDefault="00FB4048"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w:t>
            </w:r>
          </w:p>
        </w:tc>
        <w:tc>
          <w:tcPr>
            <w:tcW w:w="1236" w:type="dxa"/>
            <w:tcBorders>
              <w:top w:val="nil"/>
              <w:left w:val="nil"/>
              <w:bottom w:val="single" w:sz="4" w:space="0" w:color="auto"/>
              <w:right w:val="single" w:sz="4" w:space="0" w:color="auto"/>
            </w:tcBorders>
            <w:noWrap/>
            <w:vAlign w:val="center"/>
          </w:tcPr>
          <w:p w14:paraId="5470EDA1" w14:textId="472B254B" w:rsidR="00FB4048" w:rsidRDefault="00FB4048"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w:t>
            </w:r>
          </w:p>
        </w:tc>
        <w:tc>
          <w:tcPr>
            <w:tcW w:w="1419" w:type="dxa"/>
            <w:tcBorders>
              <w:top w:val="nil"/>
              <w:left w:val="nil"/>
              <w:bottom w:val="single" w:sz="4" w:space="0" w:color="auto"/>
              <w:right w:val="single" w:sz="4" w:space="0" w:color="auto"/>
            </w:tcBorders>
            <w:noWrap/>
            <w:vAlign w:val="center"/>
          </w:tcPr>
          <w:p w14:paraId="0B59223E" w14:textId="5D428A68" w:rsidR="00FB4048" w:rsidRDefault="00FB4048"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w:t>
            </w:r>
          </w:p>
        </w:tc>
      </w:tr>
      <w:tr w:rsidR="00FB4048" w:rsidRPr="002E53C1" w14:paraId="591F99B1" w14:textId="77777777" w:rsidTr="00FB4048">
        <w:trPr>
          <w:trHeight w:val="495"/>
          <w:jc w:val="center"/>
        </w:trPr>
        <w:tc>
          <w:tcPr>
            <w:tcW w:w="2689" w:type="dxa"/>
            <w:tcBorders>
              <w:top w:val="nil"/>
              <w:left w:val="single" w:sz="4" w:space="0" w:color="auto"/>
              <w:bottom w:val="single" w:sz="4" w:space="0" w:color="auto"/>
              <w:right w:val="single" w:sz="4" w:space="0" w:color="auto"/>
            </w:tcBorders>
            <w:vAlign w:val="center"/>
          </w:tcPr>
          <w:p w14:paraId="2B41C6C3" w14:textId="77777777" w:rsidR="002E53C1" w:rsidRPr="002E53C1" w:rsidRDefault="002E53C1" w:rsidP="002E53C1">
            <w:pPr>
              <w:spacing w:after="0" w:line="240" w:lineRule="auto"/>
              <w:rPr>
                <w:rFonts w:ascii="Times New Roman" w:eastAsia="Times New Roman" w:hAnsi="Times New Roman" w:cs="Times New Roman"/>
                <w:kern w:val="0"/>
                <w:lang w:eastAsia="hr-HR"/>
                <w14:ligatures w14:val="none"/>
              </w:rPr>
            </w:pPr>
            <w:r w:rsidRPr="002E53C1">
              <w:rPr>
                <w:rFonts w:ascii="Times New Roman" w:eastAsia="Times New Roman" w:hAnsi="Times New Roman" w:cs="Times New Roman"/>
                <w:kern w:val="0"/>
                <w:lang w:eastAsia="hr-HR"/>
                <w14:ligatures w14:val="none"/>
              </w:rPr>
              <w:t>RASHODI ZA NABAVU PROIZV. DUGOTR. IMOV.</w:t>
            </w:r>
          </w:p>
        </w:tc>
        <w:tc>
          <w:tcPr>
            <w:tcW w:w="1701" w:type="dxa"/>
            <w:tcBorders>
              <w:top w:val="nil"/>
              <w:left w:val="nil"/>
              <w:bottom w:val="single" w:sz="4" w:space="0" w:color="auto"/>
              <w:right w:val="single" w:sz="4" w:space="0" w:color="auto"/>
            </w:tcBorders>
            <w:noWrap/>
            <w:vAlign w:val="center"/>
          </w:tcPr>
          <w:p w14:paraId="1572F43E" w14:textId="7F10F2D7"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3.123,84</w:t>
            </w:r>
          </w:p>
        </w:tc>
        <w:tc>
          <w:tcPr>
            <w:tcW w:w="1417" w:type="dxa"/>
            <w:tcBorders>
              <w:top w:val="nil"/>
              <w:left w:val="nil"/>
              <w:bottom w:val="single" w:sz="4" w:space="0" w:color="auto"/>
              <w:right w:val="single" w:sz="4" w:space="0" w:color="auto"/>
            </w:tcBorders>
            <w:noWrap/>
            <w:vAlign w:val="center"/>
          </w:tcPr>
          <w:p w14:paraId="7610BA59" w14:textId="2E96EE51"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sidRPr="002E53C1">
              <w:rPr>
                <w:rFonts w:ascii="Times New Roman" w:eastAsia="Times New Roman" w:hAnsi="Times New Roman" w:cs="Times New Roman"/>
                <w:kern w:val="0"/>
                <w:lang w:eastAsia="hr-HR"/>
                <w14:ligatures w14:val="none"/>
              </w:rPr>
              <w:t>3.</w:t>
            </w:r>
            <w:r>
              <w:rPr>
                <w:rFonts w:ascii="Times New Roman" w:eastAsia="Times New Roman" w:hAnsi="Times New Roman" w:cs="Times New Roman"/>
                <w:kern w:val="0"/>
                <w:lang w:eastAsia="hr-HR"/>
                <w14:ligatures w14:val="none"/>
              </w:rPr>
              <w:t>570,00</w:t>
            </w:r>
          </w:p>
        </w:tc>
        <w:tc>
          <w:tcPr>
            <w:tcW w:w="1701" w:type="dxa"/>
            <w:tcBorders>
              <w:top w:val="nil"/>
              <w:left w:val="nil"/>
              <w:bottom w:val="single" w:sz="4" w:space="0" w:color="auto"/>
              <w:right w:val="single" w:sz="4" w:space="0" w:color="auto"/>
            </w:tcBorders>
            <w:noWrap/>
            <w:vAlign w:val="center"/>
          </w:tcPr>
          <w:p w14:paraId="7AC9E1A3" w14:textId="4C097370"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3.026,70</w:t>
            </w:r>
          </w:p>
        </w:tc>
        <w:tc>
          <w:tcPr>
            <w:tcW w:w="1179" w:type="dxa"/>
            <w:tcBorders>
              <w:top w:val="nil"/>
              <w:left w:val="nil"/>
              <w:bottom w:val="single" w:sz="4" w:space="0" w:color="auto"/>
              <w:right w:val="single" w:sz="4" w:space="0" w:color="auto"/>
            </w:tcBorders>
            <w:noWrap/>
            <w:vAlign w:val="center"/>
          </w:tcPr>
          <w:p w14:paraId="2DE22D6A" w14:textId="57969553" w:rsidR="002E53C1" w:rsidRPr="002E53C1" w:rsidRDefault="00E9354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0,60</w:t>
            </w:r>
          </w:p>
        </w:tc>
        <w:tc>
          <w:tcPr>
            <w:tcW w:w="1236" w:type="dxa"/>
            <w:tcBorders>
              <w:top w:val="nil"/>
              <w:left w:val="nil"/>
              <w:bottom w:val="single" w:sz="4" w:space="0" w:color="auto"/>
              <w:right w:val="single" w:sz="4" w:space="0" w:color="auto"/>
            </w:tcBorders>
            <w:noWrap/>
            <w:vAlign w:val="center"/>
          </w:tcPr>
          <w:p w14:paraId="58F51772" w14:textId="5F8D77E9"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84,78</w:t>
            </w:r>
          </w:p>
        </w:tc>
        <w:tc>
          <w:tcPr>
            <w:tcW w:w="1419" w:type="dxa"/>
            <w:tcBorders>
              <w:top w:val="nil"/>
              <w:left w:val="nil"/>
              <w:bottom w:val="single" w:sz="4" w:space="0" w:color="auto"/>
              <w:right w:val="single" w:sz="4" w:space="0" w:color="auto"/>
            </w:tcBorders>
            <w:noWrap/>
            <w:vAlign w:val="center"/>
          </w:tcPr>
          <w:p w14:paraId="4D914562" w14:textId="16DB5386" w:rsidR="002E53C1" w:rsidRPr="002E53C1" w:rsidRDefault="002E53C1" w:rsidP="002E53C1">
            <w:pPr>
              <w:spacing w:after="0" w:line="240" w:lineRule="auto"/>
              <w:jc w:val="right"/>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96,89</w:t>
            </w:r>
          </w:p>
        </w:tc>
      </w:tr>
      <w:tr w:rsidR="00FB4048" w:rsidRPr="002E53C1" w14:paraId="11E52363" w14:textId="77777777" w:rsidTr="00FB4048">
        <w:trPr>
          <w:trHeight w:val="344"/>
          <w:jc w:val="center"/>
        </w:trPr>
        <w:tc>
          <w:tcPr>
            <w:tcW w:w="2689" w:type="dxa"/>
            <w:tcBorders>
              <w:top w:val="nil"/>
              <w:left w:val="single" w:sz="4" w:space="0" w:color="auto"/>
              <w:bottom w:val="single" w:sz="4" w:space="0" w:color="auto"/>
              <w:right w:val="single" w:sz="4" w:space="0" w:color="auto"/>
            </w:tcBorders>
            <w:vAlign w:val="center"/>
          </w:tcPr>
          <w:p w14:paraId="2C57F404" w14:textId="77777777" w:rsidR="002E53C1" w:rsidRPr="002E53C1" w:rsidRDefault="002E53C1" w:rsidP="002E53C1">
            <w:pPr>
              <w:spacing w:after="0" w:line="240" w:lineRule="auto"/>
              <w:rPr>
                <w:rFonts w:ascii="Times New Roman" w:eastAsia="Times New Roman" w:hAnsi="Times New Roman" w:cs="Times New Roman"/>
                <w:b/>
                <w:kern w:val="0"/>
                <w:lang w:eastAsia="hr-HR"/>
                <w14:ligatures w14:val="none"/>
              </w:rPr>
            </w:pPr>
            <w:r w:rsidRPr="002E53C1">
              <w:rPr>
                <w:rFonts w:ascii="Times New Roman" w:eastAsia="Times New Roman" w:hAnsi="Times New Roman" w:cs="Times New Roman"/>
                <w:b/>
                <w:kern w:val="0"/>
                <w:lang w:eastAsia="hr-HR"/>
                <w14:ligatures w14:val="none"/>
              </w:rPr>
              <w:t xml:space="preserve">UKUPNO </w:t>
            </w:r>
            <w:r w:rsidRPr="002E53C1">
              <w:rPr>
                <w:rFonts w:ascii="Times New Roman" w:eastAsia="Times New Roman" w:hAnsi="Times New Roman" w:cs="Times New Roman"/>
                <w:b/>
                <w:kern w:val="0"/>
                <w:lang w:val="en-US" w:eastAsia="hr-HR"/>
                <w14:ligatures w14:val="none"/>
              </w:rPr>
              <w:t>RASHODI</w:t>
            </w:r>
            <w:r w:rsidRPr="002E53C1">
              <w:rPr>
                <w:rFonts w:ascii="Times New Roman" w:eastAsia="Times New Roman" w:hAnsi="Times New Roman" w:cs="Times New Roman"/>
                <w:b/>
                <w:kern w:val="0"/>
                <w:lang w:eastAsia="hr-HR"/>
                <w14:ligatures w14:val="none"/>
              </w:rPr>
              <w:t>:</w:t>
            </w:r>
          </w:p>
        </w:tc>
        <w:tc>
          <w:tcPr>
            <w:tcW w:w="1701" w:type="dxa"/>
            <w:tcBorders>
              <w:top w:val="nil"/>
              <w:left w:val="nil"/>
              <w:bottom w:val="single" w:sz="4" w:space="0" w:color="auto"/>
              <w:right w:val="single" w:sz="4" w:space="0" w:color="auto"/>
            </w:tcBorders>
            <w:noWrap/>
            <w:vAlign w:val="center"/>
          </w:tcPr>
          <w:p w14:paraId="453919B1" w14:textId="7E7A76C1" w:rsidR="002E53C1" w:rsidRPr="002E53C1" w:rsidRDefault="00E93541" w:rsidP="002E53C1">
            <w:pPr>
              <w:wordWrap w:val="0"/>
              <w:spacing w:after="0" w:line="240" w:lineRule="auto"/>
              <w:jc w:val="right"/>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val="en-US" w:eastAsia="hr-HR"/>
                <w14:ligatures w14:val="none"/>
              </w:rPr>
              <w:t>402.</w:t>
            </w:r>
            <w:r w:rsidR="00FB4048">
              <w:rPr>
                <w:rFonts w:ascii="Times New Roman" w:eastAsia="Times New Roman" w:hAnsi="Times New Roman" w:cs="Times New Roman"/>
                <w:b/>
                <w:bCs/>
                <w:kern w:val="0"/>
                <w:lang w:val="en-US" w:eastAsia="hr-HR"/>
                <w14:ligatures w14:val="none"/>
              </w:rPr>
              <w:t>7</w:t>
            </w:r>
            <w:r>
              <w:rPr>
                <w:rFonts w:ascii="Times New Roman" w:eastAsia="Times New Roman" w:hAnsi="Times New Roman" w:cs="Times New Roman"/>
                <w:b/>
                <w:bCs/>
                <w:kern w:val="0"/>
                <w:lang w:val="en-US" w:eastAsia="hr-HR"/>
                <w14:ligatures w14:val="none"/>
              </w:rPr>
              <w:t>83,28</w:t>
            </w:r>
          </w:p>
        </w:tc>
        <w:tc>
          <w:tcPr>
            <w:tcW w:w="1417" w:type="dxa"/>
            <w:tcBorders>
              <w:top w:val="nil"/>
              <w:left w:val="nil"/>
              <w:bottom w:val="single" w:sz="4" w:space="0" w:color="auto"/>
              <w:right w:val="single" w:sz="4" w:space="0" w:color="auto"/>
            </w:tcBorders>
            <w:noWrap/>
            <w:vAlign w:val="center"/>
          </w:tcPr>
          <w:p w14:paraId="3A9B65C8" w14:textId="3A360BAB" w:rsidR="002E53C1" w:rsidRPr="002E53C1" w:rsidRDefault="002E53C1" w:rsidP="002E53C1">
            <w:pPr>
              <w:wordWrap w:val="0"/>
              <w:spacing w:after="0" w:line="240" w:lineRule="auto"/>
              <w:jc w:val="right"/>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509.680,00</w:t>
            </w:r>
          </w:p>
        </w:tc>
        <w:tc>
          <w:tcPr>
            <w:tcW w:w="1701" w:type="dxa"/>
            <w:tcBorders>
              <w:top w:val="nil"/>
              <w:left w:val="nil"/>
              <w:bottom w:val="single" w:sz="4" w:space="0" w:color="auto"/>
              <w:right w:val="single" w:sz="4" w:space="0" w:color="auto"/>
            </w:tcBorders>
            <w:noWrap/>
            <w:vAlign w:val="center"/>
          </w:tcPr>
          <w:p w14:paraId="769C7242" w14:textId="7A7EBD48" w:rsidR="002E53C1" w:rsidRPr="002E53C1" w:rsidRDefault="002E53C1" w:rsidP="002E53C1">
            <w:pPr>
              <w:spacing w:after="0" w:line="240" w:lineRule="auto"/>
              <w:jc w:val="right"/>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504.620,53</w:t>
            </w:r>
            <w:r w:rsidRPr="002E53C1">
              <w:rPr>
                <w:rFonts w:ascii="Times New Roman" w:eastAsia="Times New Roman" w:hAnsi="Times New Roman" w:cs="Times New Roman"/>
                <w:b/>
                <w:bCs/>
                <w:kern w:val="0"/>
                <w:lang w:eastAsia="hr-HR"/>
                <w14:ligatures w14:val="none"/>
              </w:rPr>
              <w:t xml:space="preserve">     </w:t>
            </w:r>
          </w:p>
        </w:tc>
        <w:tc>
          <w:tcPr>
            <w:tcW w:w="1179" w:type="dxa"/>
            <w:tcBorders>
              <w:top w:val="nil"/>
              <w:left w:val="nil"/>
              <w:bottom w:val="single" w:sz="4" w:space="0" w:color="auto"/>
              <w:right w:val="single" w:sz="4" w:space="0" w:color="auto"/>
            </w:tcBorders>
            <w:noWrap/>
            <w:vAlign w:val="center"/>
          </w:tcPr>
          <w:p w14:paraId="6AD84E8D" w14:textId="77777777" w:rsidR="002E53C1" w:rsidRPr="002E53C1" w:rsidRDefault="002E53C1" w:rsidP="002E53C1">
            <w:pPr>
              <w:wordWrap w:val="0"/>
              <w:spacing w:after="0" w:line="240" w:lineRule="auto"/>
              <w:jc w:val="right"/>
              <w:rPr>
                <w:rFonts w:ascii="Times New Roman" w:eastAsia="Times New Roman" w:hAnsi="Times New Roman" w:cs="Times New Roman"/>
                <w:b/>
                <w:bCs/>
                <w:kern w:val="0"/>
                <w:lang w:eastAsia="hr-HR"/>
                <w14:ligatures w14:val="none"/>
              </w:rPr>
            </w:pPr>
            <w:r w:rsidRPr="002E53C1">
              <w:rPr>
                <w:rFonts w:ascii="Times New Roman" w:eastAsia="Times New Roman" w:hAnsi="Times New Roman" w:cs="Times New Roman"/>
                <w:b/>
                <w:bCs/>
                <w:kern w:val="0"/>
                <w:lang w:eastAsia="hr-HR"/>
                <w14:ligatures w14:val="none"/>
              </w:rPr>
              <w:t>100,00%</w:t>
            </w:r>
          </w:p>
        </w:tc>
        <w:tc>
          <w:tcPr>
            <w:tcW w:w="1236" w:type="dxa"/>
            <w:tcBorders>
              <w:top w:val="nil"/>
              <w:left w:val="nil"/>
              <w:bottom w:val="single" w:sz="4" w:space="0" w:color="auto"/>
              <w:right w:val="single" w:sz="4" w:space="0" w:color="auto"/>
            </w:tcBorders>
            <w:noWrap/>
            <w:vAlign w:val="center"/>
          </w:tcPr>
          <w:p w14:paraId="074A6BBD" w14:textId="3131A5EA" w:rsidR="002E53C1" w:rsidRPr="002E53C1" w:rsidRDefault="002E53C1" w:rsidP="002E53C1">
            <w:pPr>
              <w:wordWrap w:val="0"/>
              <w:spacing w:after="0" w:line="240" w:lineRule="auto"/>
              <w:jc w:val="right"/>
              <w:rPr>
                <w:rFonts w:ascii="Times New Roman" w:eastAsia="Times New Roman" w:hAnsi="Times New Roman" w:cs="Times New Roman"/>
                <w:b/>
                <w:bCs/>
                <w:kern w:val="0"/>
                <w:lang w:eastAsia="hr-HR"/>
                <w14:ligatures w14:val="none"/>
              </w:rPr>
            </w:pPr>
            <w:r w:rsidRPr="002E53C1">
              <w:rPr>
                <w:rFonts w:ascii="Times New Roman" w:eastAsia="Times New Roman" w:hAnsi="Times New Roman" w:cs="Times New Roman"/>
                <w:b/>
                <w:bCs/>
                <w:kern w:val="0"/>
                <w:lang w:eastAsia="hr-HR"/>
                <w14:ligatures w14:val="none"/>
              </w:rPr>
              <w:t>9</w:t>
            </w:r>
            <w:r w:rsidR="00E93541">
              <w:rPr>
                <w:rFonts w:ascii="Times New Roman" w:eastAsia="Times New Roman" w:hAnsi="Times New Roman" w:cs="Times New Roman"/>
                <w:b/>
                <w:bCs/>
                <w:kern w:val="0"/>
                <w:lang w:eastAsia="hr-HR"/>
                <w14:ligatures w14:val="none"/>
              </w:rPr>
              <w:t>9,01</w:t>
            </w:r>
            <w:r w:rsidRPr="002E53C1">
              <w:rPr>
                <w:rFonts w:ascii="Times New Roman" w:eastAsia="Times New Roman" w:hAnsi="Times New Roman" w:cs="Times New Roman"/>
                <w:b/>
                <w:bCs/>
                <w:kern w:val="0"/>
                <w:lang w:eastAsia="hr-HR"/>
                <w14:ligatures w14:val="none"/>
              </w:rPr>
              <w:t>%</w:t>
            </w:r>
          </w:p>
        </w:tc>
        <w:tc>
          <w:tcPr>
            <w:tcW w:w="1419" w:type="dxa"/>
            <w:tcBorders>
              <w:top w:val="nil"/>
              <w:left w:val="nil"/>
              <w:bottom w:val="single" w:sz="4" w:space="0" w:color="auto"/>
              <w:right w:val="single" w:sz="4" w:space="0" w:color="auto"/>
            </w:tcBorders>
            <w:noWrap/>
            <w:vAlign w:val="center"/>
          </w:tcPr>
          <w:p w14:paraId="4D13F685" w14:textId="69E67F2E" w:rsidR="002E53C1" w:rsidRPr="002E53C1" w:rsidRDefault="002E53C1" w:rsidP="002E53C1">
            <w:pPr>
              <w:spacing w:after="0" w:line="240" w:lineRule="auto"/>
              <w:jc w:val="right"/>
              <w:rPr>
                <w:rFonts w:ascii="Times New Roman" w:eastAsia="Times New Roman" w:hAnsi="Times New Roman" w:cs="Times New Roman"/>
                <w:b/>
                <w:bCs/>
                <w:kern w:val="0"/>
                <w:lang w:eastAsia="hr-HR"/>
                <w14:ligatures w14:val="none"/>
              </w:rPr>
            </w:pPr>
            <w:r w:rsidRPr="002E53C1">
              <w:rPr>
                <w:rFonts w:ascii="Times New Roman" w:eastAsia="Times New Roman" w:hAnsi="Times New Roman" w:cs="Times New Roman"/>
                <w:b/>
                <w:bCs/>
                <w:kern w:val="0"/>
                <w:lang w:eastAsia="hr-HR"/>
                <w14:ligatures w14:val="none"/>
              </w:rPr>
              <w:t>1</w:t>
            </w:r>
            <w:r w:rsidR="00E93541">
              <w:rPr>
                <w:rFonts w:ascii="Times New Roman" w:eastAsia="Times New Roman" w:hAnsi="Times New Roman" w:cs="Times New Roman"/>
                <w:b/>
                <w:bCs/>
                <w:kern w:val="0"/>
                <w:lang w:eastAsia="hr-HR"/>
                <w14:ligatures w14:val="none"/>
              </w:rPr>
              <w:t>25,28</w:t>
            </w:r>
            <w:r w:rsidRPr="002E53C1">
              <w:rPr>
                <w:rFonts w:ascii="Times New Roman" w:eastAsia="Times New Roman" w:hAnsi="Times New Roman" w:cs="Times New Roman"/>
                <w:b/>
                <w:bCs/>
                <w:kern w:val="0"/>
                <w:lang w:eastAsia="hr-HR"/>
                <w14:ligatures w14:val="none"/>
              </w:rPr>
              <w:t>%</w:t>
            </w:r>
          </w:p>
        </w:tc>
      </w:tr>
    </w:tbl>
    <w:p w14:paraId="585B8B24" w14:textId="77777777" w:rsidR="00E93541" w:rsidRDefault="00E93541" w:rsidP="008564CC"/>
    <w:p w14:paraId="40A91EA9" w14:textId="00E7023B" w:rsidR="00E93541" w:rsidRPr="00E93541" w:rsidRDefault="00E93541" w:rsidP="00E93541">
      <w:pPr>
        <w:spacing w:after="0" w:line="360" w:lineRule="auto"/>
        <w:jc w:val="both"/>
        <w:rPr>
          <w:rFonts w:ascii="Times New Roman" w:eastAsia="SimSun" w:hAnsi="Times New Roman" w:cs="Times New Roman"/>
          <w:kern w:val="0"/>
          <w:lang w:eastAsia="hr-HR"/>
          <w14:ligatures w14:val="none"/>
        </w:rPr>
      </w:pPr>
      <w:r w:rsidRPr="00E93541">
        <w:rPr>
          <w:rFonts w:ascii="Times New Roman" w:eastAsia="SimSun" w:hAnsi="Times New Roman" w:cs="Times New Roman"/>
          <w:kern w:val="0"/>
          <w:lang w:eastAsia="hr-HR"/>
          <w14:ligatures w14:val="none"/>
        </w:rPr>
        <w:t xml:space="preserve">Rashodi su izvršeni u ukupnom iznosu od </w:t>
      </w:r>
      <w:r w:rsidR="00FB4048" w:rsidRPr="000B0818">
        <w:rPr>
          <w:rFonts w:ascii="Times New Roman" w:eastAsia="SimSun" w:hAnsi="Times New Roman" w:cs="Times New Roman"/>
          <w:kern w:val="0"/>
          <w:lang w:eastAsia="hr-HR"/>
          <w14:ligatures w14:val="none"/>
        </w:rPr>
        <w:t>504.620,53 eura</w:t>
      </w:r>
      <w:r w:rsidRPr="00E93541">
        <w:rPr>
          <w:rFonts w:ascii="Times New Roman" w:eastAsia="SimSun" w:hAnsi="Times New Roman" w:cs="Times New Roman"/>
          <w:kern w:val="0"/>
          <w:lang w:eastAsia="hr-HR"/>
          <w14:ligatures w14:val="none"/>
        </w:rPr>
        <w:t xml:space="preserve">, odnosno </w:t>
      </w:r>
      <w:r w:rsidR="00FB4048" w:rsidRPr="000B0818">
        <w:rPr>
          <w:rFonts w:ascii="Times New Roman" w:eastAsia="SimSun" w:hAnsi="Times New Roman" w:cs="Times New Roman"/>
          <w:kern w:val="0"/>
          <w:lang w:eastAsia="hr-HR"/>
          <w14:ligatures w14:val="none"/>
        </w:rPr>
        <w:t>25,28</w:t>
      </w:r>
      <w:r w:rsidRPr="00E93541">
        <w:rPr>
          <w:rFonts w:ascii="Times New Roman" w:eastAsia="SimSun" w:hAnsi="Times New Roman" w:cs="Times New Roman"/>
          <w:kern w:val="0"/>
          <w:lang w:eastAsia="hr-HR"/>
          <w14:ligatures w14:val="none"/>
        </w:rPr>
        <w:t>% više u odnosu na isto razdoblje 202</w:t>
      </w:r>
      <w:r w:rsidR="00FB4048" w:rsidRPr="000B0818">
        <w:rPr>
          <w:rFonts w:ascii="Times New Roman" w:eastAsia="SimSun" w:hAnsi="Times New Roman" w:cs="Times New Roman"/>
          <w:kern w:val="0"/>
          <w:lang w:eastAsia="hr-HR"/>
          <w14:ligatures w14:val="none"/>
        </w:rPr>
        <w:t>4</w:t>
      </w:r>
      <w:r w:rsidRPr="00E93541">
        <w:rPr>
          <w:rFonts w:ascii="Times New Roman" w:eastAsia="SimSun" w:hAnsi="Times New Roman" w:cs="Times New Roman"/>
          <w:kern w:val="0"/>
          <w:lang w:eastAsia="hr-HR"/>
          <w14:ligatures w14:val="none"/>
        </w:rPr>
        <w:t xml:space="preserve">. godine.  Ako se napravi analiza, vidljivo je povećanje rashoda za zaposlene za </w:t>
      </w:r>
      <w:r w:rsidR="00FB4048" w:rsidRPr="000B0818">
        <w:rPr>
          <w:rFonts w:ascii="Times New Roman" w:eastAsia="SimSun" w:hAnsi="Times New Roman" w:cs="Times New Roman"/>
          <w:kern w:val="0"/>
          <w:lang w:eastAsia="hr-HR"/>
          <w14:ligatures w14:val="none"/>
        </w:rPr>
        <w:t>35,34</w:t>
      </w:r>
      <w:r w:rsidRPr="00E93541">
        <w:rPr>
          <w:rFonts w:ascii="Times New Roman" w:eastAsia="SimSun" w:hAnsi="Times New Roman" w:cs="Times New Roman"/>
          <w:kern w:val="0"/>
          <w:lang w:eastAsia="hr-HR"/>
          <w14:ligatures w14:val="none"/>
        </w:rPr>
        <w:t xml:space="preserve">%, dok su od izvornog plana manji za </w:t>
      </w:r>
      <w:r w:rsidR="00D74BF5">
        <w:rPr>
          <w:rFonts w:ascii="Times New Roman" w:eastAsia="SimSun" w:hAnsi="Times New Roman" w:cs="Times New Roman"/>
          <w:kern w:val="0"/>
          <w:lang w:eastAsia="hr-HR"/>
          <w14:ligatures w14:val="none"/>
        </w:rPr>
        <w:t>0,40</w:t>
      </w:r>
      <w:r w:rsidRPr="00E93541">
        <w:rPr>
          <w:rFonts w:ascii="Times New Roman" w:eastAsia="SimSun" w:hAnsi="Times New Roman" w:cs="Times New Roman"/>
          <w:kern w:val="0"/>
          <w:lang w:eastAsia="hr-HR"/>
          <w14:ligatures w14:val="none"/>
        </w:rPr>
        <w:t xml:space="preserve">%. Materijalni rashodi veći su za </w:t>
      </w:r>
      <w:r w:rsidR="00FB4048" w:rsidRPr="000B0818">
        <w:rPr>
          <w:rFonts w:ascii="Times New Roman" w:eastAsia="SimSun" w:hAnsi="Times New Roman" w:cs="Times New Roman"/>
          <w:kern w:val="0"/>
          <w:lang w:eastAsia="hr-HR"/>
          <w14:ligatures w14:val="none"/>
        </w:rPr>
        <w:t>11,38</w:t>
      </w:r>
      <w:r w:rsidRPr="00E93541">
        <w:rPr>
          <w:rFonts w:ascii="Times New Roman" w:eastAsia="SimSun" w:hAnsi="Times New Roman" w:cs="Times New Roman"/>
          <w:kern w:val="0"/>
          <w:lang w:eastAsia="hr-HR"/>
          <w14:ligatures w14:val="none"/>
        </w:rPr>
        <w:t xml:space="preserve">% u odnosu na prošlu godinu, a manji za </w:t>
      </w:r>
      <w:r w:rsidR="00FB4048" w:rsidRPr="000B0818">
        <w:rPr>
          <w:rFonts w:ascii="Times New Roman" w:eastAsia="SimSun" w:hAnsi="Times New Roman" w:cs="Times New Roman"/>
          <w:kern w:val="0"/>
          <w:lang w:eastAsia="hr-HR"/>
          <w14:ligatures w14:val="none"/>
        </w:rPr>
        <w:t>3,68</w:t>
      </w:r>
      <w:r w:rsidRPr="00E93541">
        <w:rPr>
          <w:rFonts w:ascii="Times New Roman" w:eastAsia="SimSun" w:hAnsi="Times New Roman" w:cs="Times New Roman"/>
          <w:kern w:val="0"/>
          <w:lang w:eastAsia="hr-HR"/>
          <w14:ligatures w14:val="none"/>
        </w:rPr>
        <w:t xml:space="preserve">% od godišnjeg plana. Financijski rashodi su  ostvareni za </w:t>
      </w:r>
      <w:r w:rsidR="000B0818" w:rsidRPr="000B0818">
        <w:rPr>
          <w:rFonts w:ascii="Times New Roman" w:eastAsia="SimSun" w:hAnsi="Times New Roman" w:cs="Times New Roman"/>
          <w:kern w:val="0"/>
          <w:lang w:eastAsia="hr-HR"/>
          <w14:ligatures w14:val="none"/>
        </w:rPr>
        <w:t>1,23</w:t>
      </w:r>
      <w:r w:rsidRPr="00E93541">
        <w:rPr>
          <w:rFonts w:ascii="Times New Roman" w:eastAsia="SimSun" w:hAnsi="Times New Roman" w:cs="Times New Roman"/>
          <w:kern w:val="0"/>
          <w:lang w:eastAsia="hr-HR"/>
          <w14:ligatures w14:val="none"/>
        </w:rPr>
        <w:t xml:space="preserve">% </w:t>
      </w:r>
      <w:r w:rsidR="000B0818" w:rsidRPr="000B0818">
        <w:rPr>
          <w:rFonts w:ascii="Times New Roman" w:eastAsia="SimSun" w:hAnsi="Times New Roman" w:cs="Times New Roman"/>
          <w:kern w:val="0"/>
          <w:lang w:eastAsia="hr-HR"/>
          <w14:ligatures w14:val="none"/>
        </w:rPr>
        <w:t>manje</w:t>
      </w:r>
      <w:r w:rsidRPr="00E93541">
        <w:rPr>
          <w:rFonts w:ascii="Times New Roman" w:eastAsia="SimSun" w:hAnsi="Times New Roman" w:cs="Times New Roman"/>
          <w:kern w:val="0"/>
          <w:lang w:eastAsia="hr-HR"/>
          <w14:ligatures w14:val="none"/>
        </w:rPr>
        <w:t xml:space="preserve"> od godišnjeg plana i </w:t>
      </w:r>
      <w:r w:rsidR="000B0818" w:rsidRPr="000B0818">
        <w:rPr>
          <w:rFonts w:ascii="Times New Roman" w:eastAsia="SimSun" w:hAnsi="Times New Roman" w:cs="Times New Roman"/>
          <w:kern w:val="0"/>
          <w:lang w:eastAsia="hr-HR"/>
          <w14:ligatures w14:val="none"/>
        </w:rPr>
        <w:t>manji</w:t>
      </w:r>
      <w:r w:rsidRPr="00E93541">
        <w:rPr>
          <w:rFonts w:ascii="Times New Roman" w:eastAsia="SimSun" w:hAnsi="Times New Roman" w:cs="Times New Roman"/>
          <w:kern w:val="0"/>
          <w:lang w:eastAsia="hr-HR"/>
          <w14:ligatures w14:val="none"/>
        </w:rPr>
        <w:t xml:space="preserve"> su za </w:t>
      </w:r>
      <w:r w:rsidR="000B0818" w:rsidRPr="000B0818">
        <w:rPr>
          <w:rFonts w:ascii="Times New Roman" w:eastAsia="SimSun" w:hAnsi="Times New Roman" w:cs="Times New Roman"/>
          <w:kern w:val="0"/>
          <w:lang w:eastAsia="hr-HR"/>
          <w14:ligatures w14:val="none"/>
        </w:rPr>
        <w:t>1,87</w:t>
      </w:r>
      <w:r w:rsidRPr="00E93541">
        <w:rPr>
          <w:rFonts w:ascii="Times New Roman" w:eastAsia="SimSun" w:hAnsi="Times New Roman" w:cs="Times New Roman"/>
          <w:kern w:val="0"/>
          <w:lang w:eastAsia="hr-HR"/>
          <w14:ligatures w14:val="none"/>
        </w:rPr>
        <w:t xml:space="preserve">% u odnosu na isto razdoblje prošle godine. Rashodi za nabavu </w:t>
      </w:r>
      <w:proofErr w:type="spellStart"/>
      <w:r w:rsidRPr="00E93541">
        <w:rPr>
          <w:rFonts w:ascii="Times New Roman" w:eastAsia="SimSun" w:hAnsi="Times New Roman" w:cs="Times New Roman"/>
          <w:kern w:val="0"/>
          <w:lang w:eastAsia="hr-HR"/>
          <w14:ligatures w14:val="none"/>
        </w:rPr>
        <w:t>neproizvedene</w:t>
      </w:r>
      <w:proofErr w:type="spellEnd"/>
      <w:r w:rsidRPr="00E93541">
        <w:rPr>
          <w:rFonts w:ascii="Times New Roman" w:eastAsia="SimSun" w:hAnsi="Times New Roman" w:cs="Times New Roman"/>
          <w:kern w:val="0"/>
          <w:lang w:eastAsia="hr-HR"/>
          <w14:ligatures w14:val="none"/>
        </w:rPr>
        <w:t xml:space="preserve"> dugotrajne imovine </w:t>
      </w:r>
      <w:r w:rsidR="000B0818" w:rsidRPr="000B0818">
        <w:rPr>
          <w:rFonts w:ascii="Times New Roman" w:eastAsia="SimSun" w:hAnsi="Times New Roman" w:cs="Times New Roman"/>
          <w:kern w:val="0"/>
          <w:lang w:eastAsia="hr-HR"/>
          <w14:ligatures w14:val="none"/>
        </w:rPr>
        <w:t xml:space="preserve">nisu planirani za tekuću godinu. </w:t>
      </w:r>
      <w:r w:rsidRPr="00E93541">
        <w:rPr>
          <w:rFonts w:ascii="Times New Roman" w:eastAsia="SimSun" w:hAnsi="Times New Roman" w:cs="Times New Roman"/>
          <w:kern w:val="0"/>
          <w:lang w:eastAsia="hr-HR"/>
          <w14:ligatures w14:val="none"/>
        </w:rPr>
        <w:t xml:space="preserve">Rashodi za nabavu proizvedene dugotrajne imovine </w:t>
      </w:r>
      <w:r w:rsidR="000B0818" w:rsidRPr="000B0818">
        <w:rPr>
          <w:rFonts w:ascii="Times New Roman" w:eastAsia="SimSun" w:hAnsi="Times New Roman" w:cs="Times New Roman"/>
          <w:kern w:val="0"/>
          <w:lang w:eastAsia="hr-HR"/>
          <w14:ligatures w14:val="none"/>
        </w:rPr>
        <w:t>manji</w:t>
      </w:r>
      <w:r w:rsidRPr="00E93541">
        <w:rPr>
          <w:rFonts w:ascii="Times New Roman" w:eastAsia="SimSun" w:hAnsi="Times New Roman" w:cs="Times New Roman"/>
          <w:kern w:val="0"/>
          <w:lang w:eastAsia="hr-HR"/>
          <w14:ligatures w14:val="none"/>
        </w:rPr>
        <w:t xml:space="preserve"> su za </w:t>
      </w:r>
      <w:r w:rsidR="000B0818" w:rsidRPr="000B0818">
        <w:rPr>
          <w:rFonts w:ascii="Times New Roman" w:eastAsia="SimSun" w:hAnsi="Times New Roman" w:cs="Times New Roman"/>
          <w:kern w:val="0"/>
          <w:lang w:eastAsia="hr-HR"/>
          <w14:ligatures w14:val="none"/>
        </w:rPr>
        <w:t>3,11</w:t>
      </w:r>
      <w:r w:rsidRPr="00E93541">
        <w:rPr>
          <w:rFonts w:ascii="Times New Roman" w:eastAsia="SimSun" w:hAnsi="Times New Roman" w:cs="Times New Roman"/>
          <w:kern w:val="0"/>
          <w:lang w:eastAsia="hr-HR"/>
          <w14:ligatures w14:val="none"/>
        </w:rPr>
        <w:t>% u odnosu na prethodnu godinu, te izvršenje u odnosu na plan iznosi 8</w:t>
      </w:r>
      <w:r w:rsidR="000B0818" w:rsidRPr="000B0818">
        <w:rPr>
          <w:rFonts w:ascii="Times New Roman" w:eastAsia="SimSun" w:hAnsi="Times New Roman" w:cs="Times New Roman"/>
          <w:kern w:val="0"/>
          <w:lang w:eastAsia="hr-HR"/>
          <w14:ligatures w14:val="none"/>
        </w:rPr>
        <w:t>4,78</w:t>
      </w:r>
      <w:r w:rsidRPr="00E93541">
        <w:rPr>
          <w:rFonts w:ascii="Times New Roman" w:eastAsia="SimSun" w:hAnsi="Times New Roman" w:cs="Times New Roman"/>
          <w:kern w:val="0"/>
          <w:lang w:eastAsia="hr-HR"/>
          <w14:ligatures w14:val="none"/>
        </w:rPr>
        <w:t>%.</w:t>
      </w:r>
    </w:p>
    <w:p w14:paraId="5152A8BB" w14:textId="77777777" w:rsidR="00E93541" w:rsidRDefault="00E93541" w:rsidP="008564CC"/>
    <w:p w14:paraId="2690BA52" w14:textId="10F4A6A3" w:rsidR="000B0818" w:rsidRDefault="000B0818" w:rsidP="008564CC">
      <w:r>
        <w:rPr>
          <w:noProof/>
          <w:lang w:val="en-US"/>
        </w:rPr>
        <w:lastRenderedPageBreak/>
        <w:drawing>
          <wp:inline distT="0" distB="0" distL="0" distR="0" wp14:anchorId="14A964CE" wp14:editId="5652F44B">
            <wp:extent cx="5486400" cy="3200400"/>
            <wp:effectExtent l="0" t="0" r="0" b="0"/>
            <wp:docPr id="748292756"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2FDF0E" w14:textId="6BDD611D" w:rsidR="000B0818" w:rsidRDefault="000B0818" w:rsidP="000B0818">
      <w:pPr>
        <w:tabs>
          <w:tab w:val="left" w:pos="6036"/>
        </w:tabs>
      </w:pPr>
    </w:p>
    <w:p w14:paraId="02CE4709" w14:textId="77777777" w:rsidR="000B0818" w:rsidRPr="000B0818" w:rsidRDefault="000B0818" w:rsidP="000B0818">
      <w:pPr>
        <w:spacing w:after="0" w:line="240" w:lineRule="auto"/>
        <w:jc w:val="both"/>
        <w:rPr>
          <w:rFonts w:ascii="Times New Roman" w:eastAsia="SimSun" w:hAnsi="Times New Roman" w:cs="Times New Roman"/>
          <w:b/>
          <w:i/>
          <w:iCs/>
          <w:kern w:val="0"/>
          <w:lang w:eastAsia="hr-HR"/>
          <w14:ligatures w14:val="none"/>
        </w:rPr>
      </w:pPr>
      <w:r w:rsidRPr="000B0818">
        <w:rPr>
          <w:rFonts w:ascii="Times New Roman" w:eastAsia="SimSun" w:hAnsi="Times New Roman" w:cs="Times New Roman"/>
          <w:b/>
          <w:i/>
          <w:iCs/>
          <w:kern w:val="0"/>
          <w:lang w:eastAsia="hr-HR"/>
          <w14:ligatures w14:val="none"/>
        </w:rPr>
        <w:t xml:space="preserve">Rashodi za zaposlene </w:t>
      </w:r>
    </w:p>
    <w:p w14:paraId="3E87D0A1" w14:textId="77777777" w:rsidR="000B0818" w:rsidRPr="000B0818" w:rsidRDefault="000B0818" w:rsidP="000B0818">
      <w:pPr>
        <w:spacing w:after="0" w:line="240" w:lineRule="auto"/>
        <w:jc w:val="both"/>
        <w:rPr>
          <w:rFonts w:ascii="Times New Roman" w:eastAsia="SimSun" w:hAnsi="Times New Roman" w:cs="Times New Roman"/>
          <w:b/>
          <w:kern w:val="0"/>
          <w:lang w:eastAsia="hr-HR"/>
          <w14:ligatures w14:val="none"/>
        </w:rPr>
      </w:pPr>
    </w:p>
    <w:p w14:paraId="7B5B7858" w14:textId="059F0538" w:rsidR="000B0818" w:rsidRPr="000B0818" w:rsidRDefault="000B0818" w:rsidP="000B0818">
      <w:pPr>
        <w:spacing w:after="0" w:line="360" w:lineRule="auto"/>
        <w:jc w:val="both"/>
        <w:rPr>
          <w:rFonts w:ascii="Times New Roman" w:eastAsia="SimSun" w:hAnsi="Times New Roman" w:cs="Times New Roman"/>
          <w:kern w:val="0"/>
          <w:lang w:eastAsia="hr-HR"/>
          <w14:ligatures w14:val="none"/>
        </w:rPr>
      </w:pPr>
      <w:r w:rsidRPr="000B0818">
        <w:rPr>
          <w:rFonts w:ascii="Times New Roman" w:eastAsia="SimSun" w:hAnsi="Times New Roman" w:cs="Times New Roman"/>
          <w:kern w:val="0"/>
          <w:lang w:eastAsia="hr-HR"/>
          <w14:ligatures w14:val="none"/>
        </w:rPr>
        <w:t xml:space="preserve">Ostvarenje ove skupine rashoda iznosi </w:t>
      </w:r>
      <w:r w:rsidR="00D74BF5">
        <w:rPr>
          <w:rFonts w:ascii="Times New Roman" w:eastAsia="SimSun" w:hAnsi="Times New Roman" w:cs="Times New Roman"/>
          <w:kern w:val="0"/>
          <w:lang w:eastAsia="hr-HR"/>
          <w14:ligatures w14:val="none"/>
        </w:rPr>
        <w:t>427.910,87 eura</w:t>
      </w:r>
      <w:r w:rsidRPr="000B0818">
        <w:rPr>
          <w:rFonts w:ascii="Times New Roman" w:eastAsia="SimSun" w:hAnsi="Times New Roman" w:cs="Times New Roman"/>
          <w:kern w:val="0"/>
          <w:lang w:eastAsia="hr-HR"/>
          <w14:ligatures w14:val="none"/>
        </w:rPr>
        <w:t xml:space="preserve"> te je veće za </w:t>
      </w:r>
      <w:r w:rsidR="00D74BF5">
        <w:rPr>
          <w:rFonts w:ascii="Times New Roman" w:eastAsia="SimSun" w:hAnsi="Times New Roman" w:cs="Times New Roman"/>
          <w:kern w:val="0"/>
          <w:lang w:eastAsia="hr-HR"/>
          <w14:ligatures w14:val="none"/>
        </w:rPr>
        <w:t>35,34</w:t>
      </w:r>
      <w:r w:rsidRPr="000B0818">
        <w:rPr>
          <w:rFonts w:ascii="Times New Roman" w:eastAsia="SimSun" w:hAnsi="Times New Roman" w:cs="Times New Roman"/>
          <w:kern w:val="0"/>
          <w:lang w:eastAsia="hr-HR"/>
          <w14:ligatures w14:val="none"/>
        </w:rPr>
        <w:t>% u odnosu na 202</w:t>
      </w:r>
      <w:r w:rsidR="00D74BF5">
        <w:rPr>
          <w:rFonts w:ascii="Times New Roman" w:eastAsia="SimSun" w:hAnsi="Times New Roman" w:cs="Times New Roman"/>
          <w:kern w:val="0"/>
          <w:lang w:eastAsia="hr-HR"/>
          <w14:ligatures w14:val="none"/>
        </w:rPr>
        <w:t>4</w:t>
      </w:r>
      <w:r w:rsidRPr="000B0818">
        <w:rPr>
          <w:rFonts w:ascii="Times New Roman" w:eastAsia="SimSun" w:hAnsi="Times New Roman" w:cs="Times New Roman"/>
          <w:kern w:val="0"/>
          <w:lang w:eastAsia="hr-HR"/>
          <w14:ligatures w14:val="none"/>
        </w:rPr>
        <w:t xml:space="preserve">. godinu, a manje za </w:t>
      </w:r>
      <w:r w:rsidR="00D74BF5">
        <w:rPr>
          <w:rFonts w:ascii="Times New Roman" w:eastAsia="SimSun" w:hAnsi="Times New Roman" w:cs="Times New Roman"/>
          <w:kern w:val="0"/>
          <w:lang w:eastAsia="hr-HR"/>
          <w14:ligatures w14:val="none"/>
        </w:rPr>
        <w:t>0,40</w:t>
      </w:r>
      <w:r w:rsidRPr="000B0818">
        <w:rPr>
          <w:rFonts w:ascii="Times New Roman" w:eastAsia="SimSun" w:hAnsi="Times New Roman" w:cs="Times New Roman"/>
          <w:kern w:val="0"/>
          <w:lang w:eastAsia="hr-HR"/>
          <w14:ligatures w14:val="none"/>
        </w:rPr>
        <w:t xml:space="preserve">% od godišnjeg plana. Rashodi se odnose na plaće za redovan rad zaposlenika u iznosu od </w:t>
      </w:r>
      <w:r w:rsidR="00D74BF5">
        <w:rPr>
          <w:rFonts w:ascii="Times New Roman" w:eastAsia="SimSun" w:hAnsi="Times New Roman" w:cs="Times New Roman"/>
          <w:kern w:val="0"/>
          <w:lang w:eastAsia="hr-HR"/>
          <w14:ligatures w14:val="none"/>
        </w:rPr>
        <w:t>331.980,63 eura</w:t>
      </w:r>
      <w:r w:rsidRPr="000B0818">
        <w:rPr>
          <w:rFonts w:ascii="Times New Roman" w:eastAsia="SimSun" w:hAnsi="Times New Roman" w:cs="Times New Roman"/>
          <w:kern w:val="0"/>
          <w:lang w:eastAsia="hr-HR"/>
          <w14:ligatures w14:val="none"/>
        </w:rPr>
        <w:t xml:space="preserve"> te na ostale rashode u iznosu od </w:t>
      </w:r>
      <w:r w:rsidR="00D74BF5">
        <w:rPr>
          <w:rFonts w:ascii="Times New Roman" w:eastAsia="SimSun" w:hAnsi="Times New Roman" w:cs="Times New Roman"/>
          <w:kern w:val="0"/>
          <w:lang w:eastAsia="hr-HR"/>
          <w14:ligatures w14:val="none"/>
        </w:rPr>
        <w:t>41.077,08 eura</w:t>
      </w:r>
      <w:r w:rsidRPr="000B0818">
        <w:rPr>
          <w:rFonts w:ascii="Times New Roman" w:eastAsia="SimSun" w:hAnsi="Times New Roman" w:cs="Times New Roman"/>
          <w:kern w:val="0"/>
          <w:lang w:eastAsia="hr-HR"/>
          <w14:ligatures w14:val="none"/>
        </w:rPr>
        <w:t xml:space="preserve">, dok doprinosi za obvezno zdravstveno osiguranje iznose </w:t>
      </w:r>
      <w:r w:rsidR="00D74BF5">
        <w:rPr>
          <w:rFonts w:ascii="Times New Roman" w:eastAsia="SimSun" w:hAnsi="Times New Roman" w:cs="Times New Roman"/>
          <w:kern w:val="0"/>
          <w:lang w:eastAsia="hr-HR"/>
          <w14:ligatures w14:val="none"/>
        </w:rPr>
        <w:t>54.853,16 eura</w:t>
      </w:r>
      <w:r w:rsidRPr="000B0818">
        <w:rPr>
          <w:rFonts w:ascii="Times New Roman" w:eastAsia="SimSun" w:hAnsi="Times New Roman" w:cs="Times New Roman"/>
          <w:kern w:val="0"/>
          <w:lang w:eastAsia="hr-HR"/>
          <w14:ligatures w14:val="none"/>
        </w:rPr>
        <w:t>.</w:t>
      </w:r>
    </w:p>
    <w:p w14:paraId="7F24C03A" w14:textId="77777777" w:rsidR="000B0818" w:rsidRPr="000B0818" w:rsidRDefault="000B0818" w:rsidP="000B0818">
      <w:pPr>
        <w:spacing w:after="0" w:line="240" w:lineRule="auto"/>
        <w:jc w:val="both"/>
        <w:rPr>
          <w:rFonts w:ascii="Times New Roman" w:eastAsia="SimSun" w:hAnsi="Times New Roman" w:cs="Times New Roman"/>
          <w:kern w:val="0"/>
          <w:lang w:eastAsia="hr-HR"/>
          <w14:ligatures w14:val="none"/>
        </w:rPr>
      </w:pPr>
    </w:p>
    <w:p w14:paraId="3FEF5F71" w14:textId="77777777" w:rsidR="000B0818" w:rsidRPr="000B0818" w:rsidRDefault="000B0818" w:rsidP="000B0818">
      <w:pPr>
        <w:spacing w:after="0" w:line="240" w:lineRule="auto"/>
        <w:jc w:val="both"/>
        <w:rPr>
          <w:rFonts w:ascii="Times New Roman" w:eastAsia="SimSun" w:hAnsi="Times New Roman" w:cs="Times New Roman"/>
          <w:b/>
          <w:i/>
          <w:iCs/>
          <w:kern w:val="0"/>
          <w:lang w:eastAsia="hr-HR"/>
          <w14:ligatures w14:val="none"/>
        </w:rPr>
      </w:pPr>
      <w:r w:rsidRPr="000B0818">
        <w:rPr>
          <w:rFonts w:ascii="Times New Roman" w:eastAsia="SimSun" w:hAnsi="Times New Roman" w:cs="Times New Roman"/>
          <w:b/>
          <w:i/>
          <w:iCs/>
          <w:kern w:val="0"/>
          <w:lang w:eastAsia="hr-HR"/>
          <w14:ligatures w14:val="none"/>
        </w:rPr>
        <w:t>Materijalni rashodi</w:t>
      </w:r>
    </w:p>
    <w:p w14:paraId="5D2D3AF4" w14:textId="77777777" w:rsidR="000B0818" w:rsidRPr="000B0818" w:rsidRDefault="000B0818" w:rsidP="000B0818">
      <w:pPr>
        <w:spacing w:after="0" w:line="240" w:lineRule="auto"/>
        <w:jc w:val="both"/>
        <w:rPr>
          <w:rFonts w:ascii="Times New Roman" w:eastAsia="SimSun" w:hAnsi="Times New Roman" w:cs="Times New Roman"/>
          <w:kern w:val="0"/>
          <w:lang w:eastAsia="hr-HR"/>
          <w14:ligatures w14:val="none"/>
        </w:rPr>
      </w:pPr>
    </w:p>
    <w:p w14:paraId="2B3B98BB" w14:textId="221BC3D5" w:rsidR="000B0818" w:rsidRPr="000B0818" w:rsidRDefault="000B0818" w:rsidP="000B0818">
      <w:pPr>
        <w:spacing w:after="0" w:line="360" w:lineRule="auto"/>
        <w:jc w:val="both"/>
        <w:rPr>
          <w:rFonts w:ascii="Times New Roman" w:eastAsia="SimSun" w:hAnsi="Times New Roman" w:cs="Times New Roman"/>
          <w:kern w:val="0"/>
          <w:lang w:eastAsia="hr-HR"/>
          <w14:ligatures w14:val="none"/>
        </w:rPr>
      </w:pPr>
      <w:r w:rsidRPr="000B0818">
        <w:rPr>
          <w:rFonts w:ascii="Times New Roman" w:eastAsia="SimSun" w:hAnsi="Times New Roman" w:cs="Times New Roman"/>
          <w:kern w:val="0"/>
          <w:lang w:eastAsia="hr-HR"/>
          <w14:ligatures w14:val="none"/>
        </w:rPr>
        <w:t xml:space="preserve">Skupina materijalnih rashoda obuhvaća naknade troškova zaposlenima, rashode za materijal i energiju, rashode za usluge i ostale nespomenute rashode poslovanja, a ostvareni su u ukupnom iznosu od </w:t>
      </w:r>
      <w:r w:rsidR="00D74BF5">
        <w:rPr>
          <w:rFonts w:ascii="Times New Roman" w:eastAsia="SimSun" w:hAnsi="Times New Roman" w:cs="Times New Roman"/>
          <w:kern w:val="0"/>
          <w:lang w:eastAsia="hr-HR"/>
          <w14:ligatures w14:val="none"/>
        </w:rPr>
        <w:t>72.892,79 eura</w:t>
      </w:r>
      <w:r w:rsidRPr="000B0818">
        <w:rPr>
          <w:rFonts w:ascii="Times New Roman" w:eastAsia="SimSun" w:hAnsi="Times New Roman" w:cs="Times New Roman"/>
          <w:kern w:val="0"/>
          <w:lang w:eastAsia="hr-HR"/>
          <w14:ligatures w14:val="none"/>
        </w:rPr>
        <w:t xml:space="preserve"> odnosno </w:t>
      </w:r>
      <w:r w:rsidR="00D74BF5">
        <w:rPr>
          <w:rFonts w:ascii="Times New Roman" w:eastAsia="SimSun" w:hAnsi="Times New Roman" w:cs="Times New Roman"/>
          <w:kern w:val="0"/>
          <w:lang w:eastAsia="hr-HR"/>
          <w14:ligatures w14:val="none"/>
        </w:rPr>
        <w:t>11,38</w:t>
      </w:r>
      <w:r w:rsidRPr="000B0818">
        <w:rPr>
          <w:rFonts w:ascii="Times New Roman" w:eastAsia="SimSun" w:hAnsi="Times New Roman" w:cs="Times New Roman"/>
          <w:kern w:val="0"/>
          <w:lang w:eastAsia="hr-HR"/>
          <w14:ligatures w14:val="none"/>
        </w:rPr>
        <w:t xml:space="preserve">% više nego prethodne godine, a za </w:t>
      </w:r>
      <w:r w:rsidR="00D74BF5">
        <w:rPr>
          <w:rFonts w:ascii="Times New Roman" w:eastAsia="SimSun" w:hAnsi="Times New Roman" w:cs="Times New Roman"/>
          <w:kern w:val="0"/>
          <w:lang w:eastAsia="hr-HR"/>
          <w14:ligatures w14:val="none"/>
        </w:rPr>
        <w:t>3,68</w:t>
      </w:r>
      <w:r w:rsidRPr="000B0818">
        <w:rPr>
          <w:rFonts w:ascii="Times New Roman" w:eastAsia="SimSun" w:hAnsi="Times New Roman" w:cs="Times New Roman"/>
          <w:kern w:val="0"/>
          <w:lang w:eastAsia="hr-HR"/>
          <w14:ligatures w14:val="none"/>
        </w:rPr>
        <w:t>% manji od planiranog. Udio pojedine skupine rashoda u ukupnim rashodima iznosi:</w:t>
      </w:r>
    </w:p>
    <w:p w14:paraId="285EFB9A" w14:textId="069F11A6" w:rsidR="000B0818" w:rsidRPr="000B0818" w:rsidRDefault="000B0818" w:rsidP="000B0818">
      <w:pPr>
        <w:spacing w:after="0" w:line="360" w:lineRule="auto"/>
        <w:jc w:val="both"/>
        <w:rPr>
          <w:rFonts w:ascii="Times New Roman" w:eastAsia="SimSun" w:hAnsi="Times New Roman" w:cs="Times New Roman"/>
          <w:kern w:val="0"/>
          <w:lang w:eastAsia="hr-HR"/>
          <w14:ligatures w14:val="none"/>
        </w:rPr>
      </w:pPr>
      <w:r w:rsidRPr="000B0818">
        <w:rPr>
          <w:rFonts w:ascii="Times New Roman" w:eastAsia="SimSun" w:hAnsi="Times New Roman" w:cs="Times New Roman"/>
          <w:kern w:val="0"/>
          <w:lang w:eastAsia="hr-HR"/>
          <w14:ligatures w14:val="none"/>
        </w:rPr>
        <w:tab/>
        <w:t>- naknade troškova zaposlenima</w:t>
      </w:r>
      <w:r w:rsidRPr="000B0818">
        <w:rPr>
          <w:rFonts w:ascii="Times New Roman" w:eastAsia="SimSun" w:hAnsi="Times New Roman" w:cs="Times New Roman"/>
          <w:kern w:val="0"/>
          <w:lang w:eastAsia="hr-HR"/>
          <w14:ligatures w14:val="none"/>
        </w:rPr>
        <w:tab/>
      </w:r>
      <w:r w:rsidRPr="000B0818">
        <w:rPr>
          <w:rFonts w:ascii="Times New Roman" w:eastAsia="SimSun" w:hAnsi="Times New Roman" w:cs="Times New Roman"/>
          <w:kern w:val="0"/>
          <w:lang w:eastAsia="hr-HR"/>
          <w14:ligatures w14:val="none"/>
        </w:rPr>
        <w:tab/>
      </w:r>
      <w:r w:rsidRPr="000B0818">
        <w:rPr>
          <w:rFonts w:ascii="Times New Roman" w:eastAsia="SimSun" w:hAnsi="Times New Roman" w:cs="Times New Roman"/>
          <w:kern w:val="0"/>
          <w:lang w:eastAsia="hr-HR"/>
          <w14:ligatures w14:val="none"/>
        </w:rPr>
        <w:tab/>
        <w:t xml:space="preserve">        1</w:t>
      </w:r>
      <w:r w:rsidR="00D74BF5">
        <w:rPr>
          <w:rFonts w:ascii="Times New Roman" w:eastAsia="SimSun" w:hAnsi="Times New Roman" w:cs="Times New Roman"/>
          <w:kern w:val="0"/>
          <w:lang w:eastAsia="hr-HR"/>
          <w14:ligatures w14:val="none"/>
        </w:rPr>
        <w:t>4.442,71 eura</w:t>
      </w:r>
    </w:p>
    <w:p w14:paraId="5EE7093A" w14:textId="61F9024C" w:rsidR="000B0818" w:rsidRPr="000B0818" w:rsidRDefault="000B0818" w:rsidP="000B0818">
      <w:pPr>
        <w:spacing w:after="0" w:line="360" w:lineRule="auto"/>
        <w:jc w:val="both"/>
        <w:rPr>
          <w:rFonts w:ascii="Times New Roman" w:eastAsia="SimSun" w:hAnsi="Times New Roman" w:cs="Times New Roman"/>
          <w:kern w:val="0"/>
          <w:lang w:eastAsia="hr-HR"/>
          <w14:ligatures w14:val="none"/>
        </w:rPr>
      </w:pPr>
      <w:r w:rsidRPr="000B0818">
        <w:rPr>
          <w:rFonts w:ascii="Times New Roman" w:eastAsia="SimSun" w:hAnsi="Times New Roman" w:cs="Times New Roman"/>
          <w:kern w:val="0"/>
          <w:lang w:eastAsia="hr-HR"/>
          <w14:ligatures w14:val="none"/>
        </w:rPr>
        <w:tab/>
        <w:t>- rashodi za materijal i energiju</w:t>
      </w:r>
      <w:r w:rsidRPr="000B0818">
        <w:rPr>
          <w:rFonts w:ascii="Times New Roman" w:eastAsia="SimSun" w:hAnsi="Times New Roman" w:cs="Times New Roman"/>
          <w:kern w:val="0"/>
          <w:lang w:eastAsia="hr-HR"/>
          <w14:ligatures w14:val="none"/>
        </w:rPr>
        <w:tab/>
      </w:r>
      <w:r w:rsidRPr="000B0818">
        <w:rPr>
          <w:rFonts w:ascii="Times New Roman" w:eastAsia="SimSun" w:hAnsi="Times New Roman" w:cs="Times New Roman"/>
          <w:kern w:val="0"/>
          <w:lang w:eastAsia="hr-HR"/>
          <w14:ligatures w14:val="none"/>
        </w:rPr>
        <w:tab/>
      </w:r>
      <w:r w:rsidRPr="000B0818">
        <w:rPr>
          <w:rFonts w:ascii="Times New Roman" w:eastAsia="SimSun" w:hAnsi="Times New Roman" w:cs="Times New Roman"/>
          <w:kern w:val="0"/>
          <w:lang w:eastAsia="hr-HR"/>
          <w14:ligatures w14:val="none"/>
        </w:rPr>
        <w:tab/>
        <w:t xml:space="preserve">        3</w:t>
      </w:r>
      <w:r w:rsidR="00D74BF5">
        <w:rPr>
          <w:rFonts w:ascii="Times New Roman" w:eastAsia="SimSun" w:hAnsi="Times New Roman" w:cs="Times New Roman"/>
          <w:kern w:val="0"/>
          <w:lang w:eastAsia="hr-HR"/>
          <w14:ligatures w14:val="none"/>
        </w:rPr>
        <w:t>5.305,68 eura</w:t>
      </w:r>
    </w:p>
    <w:p w14:paraId="6059DE72" w14:textId="719ECE2B" w:rsidR="000B0818" w:rsidRPr="000B0818" w:rsidRDefault="000B0818" w:rsidP="000B0818">
      <w:pPr>
        <w:spacing w:after="0" w:line="360" w:lineRule="auto"/>
        <w:jc w:val="both"/>
        <w:rPr>
          <w:rFonts w:ascii="Times New Roman" w:eastAsia="SimSun" w:hAnsi="Times New Roman" w:cs="Times New Roman"/>
          <w:kern w:val="0"/>
          <w:lang w:eastAsia="hr-HR"/>
          <w14:ligatures w14:val="none"/>
        </w:rPr>
      </w:pPr>
      <w:r w:rsidRPr="000B0818">
        <w:rPr>
          <w:rFonts w:ascii="Times New Roman" w:eastAsia="SimSun" w:hAnsi="Times New Roman" w:cs="Times New Roman"/>
          <w:kern w:val="0"/>
          <w:lang w:eastAsia="hr-HR"/>
          <w14:ligatures w14:val="none"/>
        </w:rPr>
        <w:t xml:space="preserve"> </w:t>
      </w:r>
      <w:r w:rsidRPr="000B0818">
        <w:rPr>
          <w:rFonts w:ascii="Times New Roman" w:eastAsia="SimSun" w:hAnsi="Times New Roman" w:cs="Times New Roman"/>
          <w:kern w:val="0"/>
          <w:lang w:eastAsia="hr-HR"/>
          <w14:ligatures w14:val="none"/>
        </w:rPr>
        <w:tab/>
        <w:t>- rashodi za usluge</w:t>
      </w:r>
      <w:r w:rsidRPr="000B0818">
        <w:rPr>
          <w:rFonts w:ascii="Times New Roman" w:eastAsia="SimSun" w:hAnsi="Times New Roman" w:cs="Times New Roman"/>
          <w:kern w:val="0"/>
          <w:lang w:eastAsia="hr-HR"/>
          <w14:ligatures w14:val="none"/>
        </w:rPr>
        <w:tab/>
      </w:r>
      <w:r w:rsidRPr="000B0818">
        <w:rPr>
          <w:rFonts w:ascii="Times New Roman" w:eastAsia="SimSun" w:hAnsi="Times New Roman" w:cs="Times New Roman"/>
          <w:kern w:val="0"/>
          <w:lang w:eastAsia="hr-HR"/>
          <w14:ligatures w14:val="none"/>
        </w:rPr>
        <w:tab/>
      </w:r>
      <w:r w:rsidRPr="000B0818">
        <w:rPr>
          <w:rFonts w:ascii="Times New Roman" w:eastAsia="SimSun" w:hAnsi="Times New Roman" w:cs="Times New Roman"/>
          <w:kern w:val="0"/>
          <w:lang w:eastAsia="hr-HR"/>
          <w14:ligatures w14:val="none"/>
        </w:rPr>
        <w:tab/>
        <w:t xml:space="preserve">                     </w:t>
      </w:r>
      <w:r w:rsidR="00D74BF5">
        <w:rPr>
          <w:rFonts w:ascii="Times New Roman" w:eastAsia="SimSun" w:hAnsi="Times New Roman" w:cs="Times New Roman"/>
          <w:kern w:val="0"/>
          <w:lang w:eastAsia="hr-HR"/>
          <w14:ligatures w14:val="none"/>
        </w:rPr>
        <w:t xml:space="preserve">          22.615,96 eura</w:t>
      </w:r>
    </w:p>
    <w:p w14:paraId="72B79639" w14:textId="24039D58" w:rsidR="000B0818" w:rsidRPr="000B0818" w:rsidRDefault="000B0818" w:rsidP="000B0818">
      <w:pPr>
        <w:spacing w:after="0" w:line="360" w:lineRule="auto"/>
        <w:jc w:val="both"/>
        <w:rPr>
          <w:rFonts w:ascii="Times New Roman" w:eastAsia="SimSun" w:hAnsi="Times New Roman" w:cs="Times New Roman"/>
          <w:b/>
          <w:i/>
          <w:iCs/>
          <w:kern w:val="0"/>
          <w:lang w:eastAsia="hr-HR"/>
          <w14:ligatures w14:val="none"/>
        </w:rPr>
      </w:pPr>
      <w:r w:rsidRPr="000B0818">
        <w:rPr>
          <w:rFonts w:ascii="Times New Roman" w:eastAsia="SimSun" w:hAnsi="Times New Roman" w:cs="Times New Roman"/>
          <w:kern w:val="0"/>
          <w:lang w:eastAsia="hr-HR"/>
          <w14:ligatures w14:val="none"/>
        </w:rPr>
        <w:t xml:space="preserve">          </w:t>
      </w:r>
      <w:r w:rsidRPr="000B0818">
        <w:rPr>
          <w:rFonts w:ascii="Times New Roman" w:eastAsia="SimSun" w:hAnsi="Times New Roman" w:cs="Times New Roman"/>
          <w:kern w:val="0"/>
          <w:lang w:eastAsia="hr-HR"/>
          <w14:ligatures w14:val="none"/>
        </w:rPr>
        <w:tab/>
        <w:t>- ostali nespomenuti rashodi poslovanja</w:t>
      </w:r>
      <w:r w:rsidRPr="000B0818">
        <w:rPr>
          <w:rFonts w:ascii="Times New Roman" w:eastAsia="SimSun" w:hAnsi="Times New Roman" w:cs="Times New Roman"/>
          <w:kern w:val="0"/>
          <w:lang w:eastAsia="hr-HR"/>
          <w14:ligatures w14:val="none"/>
        </w:rPr>
        <w:tab/>
        <w:t xml:space="preserve">                       </w:t>
      </w:r>
      <w:r w:rsidR="00D74BF5">
        <w:rPr>
          <w:rFonts w:ascii="Times New Roman" w:eastAsia="SimSun" w:hAnsi="Times New Roman" w:cs="Times New Roman"/>
          <w:kern w:val="0"/>
          <w:lang w:eastAsia="hr-HR"/>
          <w14:ligatures w14:val="none"/>
        </w:rPr>
        <w:t xml:space="preserve"> 528,44 eura</w:t>
      </w:r>
    </w:p>
    <w:p w14:paraId="080B0E9C" w14:textId="77777777" w:rsidR="000B0818" w:rsidRPr="000B0818" w:rsidRDefault="000B0818" w:rsidP="000B0818">
      <w:pPr>
        <w:spacing w:after="0" w:line="360" w:lineRule="auto"/>
        <w:jc w:val="both"/>
        <w:rPr>
          <w:rFonts w:ascii="Times New Roman" w:eastAsia="SimSun" w:hAnsi="Times New Roman" w:cs="Times New Roman"/>
          <w:b/>
          <w:i/>
          <w:iCs/>
          <w:kern w:val="0"/>
          <w:lang w:eastAsia="hr-HR"/>
          <w14:ligatures w14:val="none"/>
        </w:rPr>
      </w:pPr>
    </w:p>
    <w:p w14:paraId="2B3C1A90" w14:textId="77777777" w:rsidR="000B0818" w:rsidRPr="000B0818" w:rsidRDefault="000B0818" w:rsidP="000B0818">
      <w:pPr>
        <w:spacing w:after="0" w:line="360" w:lineRule="auto"/>
        <w:jc w:val="both"/>
        <w:rPr>
          <w:rFonts w:ascii="Times New Roman" w:eastAsia="SimSun" w:hAnsi="Times New Roman" w:cs="Times New Roman"/>
          <w:b/>
          <w:i/>
          <w:iCs/>
          <w:kern w:val="0"/>
          <w:lang w:eastAsia="hr-HR"/>
          <w14:ligatures w14:val="none"/>
        </w:rPr>
      </w:pPr>
    </w:p>
    <w:p w14:paraId="3BD3E060" w14:textId="1D894465" w:rsidR="000B0818" w:rsidRPr="000B0818" w:rsidRDefault="000B0818" w:rsidP="000B0818">
      <w:pPr>
        <w:spacing w:after="0" w:line="360" w:lineRule="auto"/>
        <w:jc w:val="both"/>
        <w:rPr>
          <w:rFonts w:ascii="Times New Roman" w:eastAsia="SimSun" w:hAnsi="Times New Roman" w:cs="Times New Roman"/>
          <w:bCs/>
          <w:kern w:val="0"/>
          <w:lang w:eastAsia="hr-HR"/>
          <w14:ligatures w14:val="none"/>
        </w:rPr>
      </w:pPr>
      <w:r w:rsidRPr="000B0818">
        <w:rPr>
          <w:rFonts w:ascii="Times New Roman" w:eastAsia="SimSun" w:hAnsi="Times New Roman" w:cs="Times New Roman"/>
          <w:bCs/>
          <w:kern w:val="0"/>
          <w:lang w:eastAsia="hr-HR"/>
          <w14:ligatures w14:val="none"/>
        </w:rPr>
        <w:t>Naknade troškova zaposlenima obuhvaćaju</w:t>
      </w:r>
      <w:r w:rsidR="00D74BF5">
        <w:rPr>
          <w:rFonts w:ascii="Times New Roman" w:eastAsia="SimSun" w:hAnsi="Times New Roman" w:cs="Times New Roman"/>
          <w:bCs/>
          <w:kern w:val="0"/>
          <w:lang w:eastAsia="hr-HR"/>
          <w14:ligatures w14:val="none"/>
        </w:rPr>
        <w:t xml:space="preserve"> službena putovanja u iznosu od 654,50 eura,</w:t>
      </w:r>
      <w:r w:rsidRPr="000B0818">
        <w:rPr>
          <w:rFonts w:ascii="Times New Roman" w:eastAsia="SimSun" w:hAnsi="Times New Roman" w:cs="Times New Roman"/>
          <w:bCs/>
          <w:kern w:val="0"/>
          <w:lang w:eastAsia="hr-HR"/>
          <w14:ligatures w14:val="none"/>
        </w:rPr>
        <w:t xml:space="preserve"> naknade za prijevoz u iznosu od 1</w:t>
      </w:r>
      <w:r w:rsidR="00D74BF5">
        <w:rPr>
          <w:rFonts w:ascii="Times New Roman" w:eastAsia="SimSun" w:hAnsi="Times New Roman" w:cs="Times New Roman"/>
          <w:bCs/>
          <w:kern w:val="0"/>
          <w:lang w:eastAsia="hr-HR"/>
          <w14:ligatures w14:val="none"/>
        </w:rPr>
        <w:t>3.205,84 eura</w:t>
      </w:r>
      <w:r w:rsidRPr="000B0818">
        <w:rPr>
          <w:rFonts w:ascii="Times New Roman" w:eastAsia="SimSun" w:hAnsi="Times New Roman" w:cs="Times New Roman"/>
          <w:bCs/>
          <w:kern w:val="0"/>
          <w:lang w:eastAsia="hr-HR"/>
          <w14:ligatures w14:val="none"/>
        </w:rPr>
        <w:t xml:space="preserve"> te stručna usavršavanja zaposlenika izvršenih </w:t>
      </w:r>
      <w:r w:rsidRPr="000B0818">
        <w:rPr>
          <w:rFonts w:ascii="Times New Roman" w:eastAsia="SimSun" w:hAnsi="Times New Roman" w:cs="Times New Roman"/>
          <w:bCs/>
          <w:kern w:val="0"/>
          <w:lang w:eastAsia="hr-HR"/>
          <w14:ligatures w14:val="none"/>
        </w:rPr>
        <w:lastRenderedPageBreak/>
        <w:t xml:space="preserve">u iznosu </w:t>
      </w:r>
      <w:r w:rsidR="00D74BF5">
        <w:rPr>
          <w:rFonts w:ascii="Times New Roman" w:eastAsia="SimSun" w:hAnsi="Times New Roman" w:cs="Times New Roman"/>
          <w:bCs/>
          <w:kern w:val="0"/>
          <w:lang w:eastAsia="hr-HR"/>
          <w14:ligatures w14:val="none"/>
        </w:rPr>
        <w:t>582,37 eura</w:t>
      </w:r>
      <w:r w:rsidRPr="000B0818">
        <w:rPr>
          <w:rFonts w:ascii="Times New Roman" w:eastAsia="SimSun" w:hAnsi="Times New Roman" w:cs="Times New Roman"/>
          <w:bCs/>
          <w:kern w:val="0"/>
          <w:lang w:eastAsia="hr-HR"/>
          <w14:ligatures w14:val="none"/>
        </w:rPr>
        <w:t xml:space="preserve">. Rashodi za materijal i energiju sastoje se od rashoda za uredski materijal i ostalih materijalnih rashoda u iznosu od </w:t>
      </w:r>
      <w:r w:rsidR="00D74BF5">
        <w:rPr>
          <w:rFonts w:ascii="Times New Roman" w:eastAsia="SimSun" w:hAnsi="Times New Roman" w:cs="Times New Roman"/>
          <w:bCs/>
          <w:kern w:val="0"/>
          <w:lang w:eastAsia="hr-HR"/>
          <w14:ligatures w14:val="none"/>
        </w:rPr>
        <w:t>7.498,41 eura</w:t>
      </w:r>
      <w:r w:rsidRPr="000B0818">
        <w:rPr>
          <w:rFonts w:ascii="Times New Roman" w:eastAsia="SimSun" w:hAnsi="Times New Roman" w:cs="Times New Roman"/>
          <w:bCs/>
          <w:kern w:val="0"/>
          <w:lang w:eastAsia="hr-HR"/>
          <w14:ligatures w14:val="none"/>
        </w:rPr>
        <w:t>, rashoda za materijal i sirovine u iznosu od 18.</w:t>
      </w:r>
      <w:r w:rsidR="00D74BF5">
        <w:rPr>
          <w:rFonts w:ascii="Times New Roman" w:eastAsia="SimSun" w:hAnsi="Times New Roman" w:cs="Times New Roman"/>
          <w:bCs/>
          <w:kern w:val="0"/>
          <w:lang w:eastAsia="hr-HR"/>
          <w14:ligatures w14:val="none"/>
        </w:rPr>
        <w:t>312,63 eura</w:t>
      </w:r>
      <w:r w:rsidRPr="000B0818">
        <w:rPr>
          <w:rFonts w:ascii="Times New Roman" w:eastAsia="SimSun" w:hAnsi="Times New Roman" w:cs="Times New Roman"/>
          <w:bCs/>
          <w:kern w:val="0"/>
          <w:lang w:eastAsia="hr-HR"/>
          <w14:ligatures w14:val="none"/>
        </w:rPr>
        <w:t xml:space="preserve"> te rashoda za energiju u iznosu od </w:t>
      </w:r>
      <w:r w:rsidR="007F6300">
        <w:rPr>
          <w:rFonts w:ascii="Times New Roman" w:eastAsia="SimSun" w:hAnsi="Times New Roman" w:cs="Times New Roman"/>
          <w:bCs/>
          <w:kern w:val="0"/>
          <w:lang w:eastAsia="hr-HR"/>
          <w14:ligatures w14:val="none"/>
        </w:rPr>
        <w:t>7.652,04 eura</w:t>
      </w:r>
      <w:r w:rsidRPr="000B0818">
        <w:rPr>
          <w:rFonts w:ascii="Times New Roman" w:eastAsia="SimSun" w:hAnsi="Times New Roman" w:cs="Times New Roman"/>
          <w:bCs/>
          <w:kern w:val="0"/>
          <w:lang w:eastAsia="hr-HR"/>
          <w14:ligatures w14:val="none"/>
        </w:rPr>
        <w:t>. Rashodi za  materijal i dijelove za tekuće i investicijsko održavanje iznose 4</w:t>
      </w:r>
      <w:r w:rsidR="007F6300">
        <w:rPr>
          <w:rFonts w:ascii="Times New Roman" w:eastAsia="SimSun" w:hAnsi="Times New Roman" w:cs="Times New Roman"/>
          <w:bCs/>
          <w:kern w:val="0"/>
          <w:lang w:eastAsia="hr-HR"/>
          <w14:ligatures w14:val="none"/>
        </w:rPr>
        <w:t>73,59 eura,</w:t>
      </w:r>
      <w:r w:rsidRPr="000B0818">
        <w:rPr>
          <w:rFonts w:ascii="Times New Roman" w:eastAsia="SimSun" w:hAnsi="Times New Roman" w:cs="Times New Roman"/>
          <w:bCs/>
          <w:kern w:val="0"/>
          <w:lang w:eastAsia="hr-HR"/>
          <w14:ligatures w14:val="none"/>
        </w:rPr>
        <w:t xml:space="preserve"> rashodi za sitni inventar iznose </w:t>
      </w:r>
      <w:r w:rsidR="007F6300">
        <w:rPr>
          <w:rFonts w:ascii="Times New Roman" w:eastAsia="SimSun" w:hAnsi="Times New Roman" w:cs="Times New Roman"/>
          <w:bCs/>
          <w:kern w:val="0"/>
          <w:lang w:eastAsia="hr-HR"/>
          <w14:ligatures w14:val="none"/>
        </w:rPr>
        <w:t>613,89 eura</w:t>
      </w:r>
      <w:r w:rsidRPr="000B0818">
        <w:rPr>
          <w:rFonts w:ascii="Times New Roman" w:eastAsia="SimSun" w:hAnsi="Times New Roman" w:cs="Times New Roman"/>
          <w:bCs/>
          <w:kern w:val="0"/>
          <w:lang w:eastAsia="hr-HR"/>
          <w14:ligatures w14:val="none"/>
        </w:rPr>
        <w:t xml:space="preserve"> te rashodi za službenu, radnu i zaštitnu odjeću </w:t>
      </w:r>
      <w:r w:rsidR="007F6300">
        <w:rPr>
          <w:rFonts w:ascii="Times New Roman" w:eastAsia="SimSun" w:hAnsi="Times New Roman" w:cs="Times New Roman"/>
          <w:bCs/>
          <w:kern w:val="0"/>
          <w:lang w:eastAsia="hr-HR"/>
          <w14:ligatures w14:val="none"/>
        </w:rPr>
        <w:t>755,12 eura</w:t>
      </w:r>
      <w:r w:rsidRPr="000B0818">
        <w:rPr>
          <w:rFonts w:ascii="Times New Roman" w:eastAsia="SimSun" w:hAnsi="Times New Roman" w:cs="Times New Roman"/>
          <w:bCs/>
          <w:kern w:val="0"/>
          <w:lang w:eastAsia="hr-HR"/>
          <w14:ligatures w14:val="none"/>
        </w:rPr>
        <w:t>. Usluge telefona i pošte zabilježene su u iznosu od 1.</w:t>
      </w:r>
      <w:r w:rsidR="007F6300">
        <w:rPr>
          <w:rFonts w:ascii="Times New Roman" w:eastAsia="SimSun" w:hAnsi="Times New Roman" w:cs="Times New Roman"/>
          <w:bCs/>
          <w:kern w:val="0"/>
          <w:lang w:eastAsia="hr-HR"/>
          <w14:ligatures w14:val="none"/>
        </w:rPr>
        <w:t>325,97 eura</w:t>
      </w:r>
      <w:r w:rsidRPr="000B0818">
        <w:rPr>
          <w:rFonts w:ascii="Times New Roman" w:eastAsia="SimSun" w:hAnsi="Times New Roman" w:cs="Times New Roman"/>
          <w:bCs/>
          <w:kern w:val="0"/>
          <w:lang w:eastAsia="hr-HR"/>
          <w14:ligatures w14:val="none"/>
        </w:rPr>
        <w:t xml:space="preserve">, usluge tekućeg i investicijskog održavanja u iznosu od </w:t>
      </w:r>
      <w:r w:rsidR="007F6300">
        <w:rPr>
          <w:rFonts w:ascii="Times New Roman" w:eastAsia="SimSun" w:hAnsi="Times New Roman" w:cs="Times New Roman"/>
          <w:bCs/>
          <w:kern w:val="0"/>
          <w:lang w:eastAsia="hr-HR"/>
          <w14:ligatures w14:val="none"/>
        </w:rPr>
        <w:t>2.821,40 eura</w:t>
      </w:r>
      <w:r w:rsidRPr="000B0818">
        <w:rPr>
          <w:rFonts w:ascii="Times New Roman" w:eastAsia="SimSun" w:hAnsi="Times New Roman" w:cs="Times New Roman"/>
          <w:bCs/>
          <w:kern w:val="0"/>
          <w:lang w:eastAsia="hr-HR"/>
          <w14:ligatures w14:val="none"/>
        </w:rPr>
        <w:t xml:space="preserve">, usluge promidžbe i informiranja u iznosu od </w:t>
      </w:r>
      <w:r w:rsidR="007F6300">
        <w:rPr>
          <w:rFonts w:ascii="Times New Roman" w:eastAsia="SimSun" w:hAnsi="Times New Roman" w:cs="Times New Roman"/>
          <w:bCs/>
          <w:kern w:val="0"/>
          <w:lang w:eastAsia="hr-HR"/>
          <w14:ligatures w14:val="none"/>
        </w:rPr>
        <w:t>1.188,10 eura</w:t>
      </w:r>
      <w:r w:rsidRPr="000B0818">
        <w:rPr>
          <w:rFonts w:ascii="Times New Roman" w:eastAsia="SimSun" w:hAnsi="Times New Roman" w:cs="Times New Roman"/>
          <w:bCs/>
          <w:kern w:val="0"/>
          <w:lang w:eastAsia="hr-HR"/>
          <w14:ligatures w14:val="none"/>
        </w:rPr>
        <w:t>, komunalne usluge u iznosu od 2.</w:t>
      </w:r>
      <w:r w:rsidR="007F6300">
        <w:rPr>
          <w:rFonts w:ascii="Times New Roman" w:eastAsia="SimSun" w:hAnsi="Times New Roman" w:cs="Times New Roman"/>
          <w:bCs/>
          <w:kern w:val="0"/>
          <w:lang w:eastAsia="hr-HR"/>
          <w14:ligatures w14:val="none"/>
        </w:rPr>
        <w:t>584,89 eura</w:t>
      </w:r>
      <w:r w:rsidRPr="000B0818">
        <w:rPr>
          <w:rFonts w:ascii="Times New Roman" w:eastAsia="SimSun" w:hAnsi="Times New Roman" w:cs="Times New Roman"/>
          <w:bCs/>
          <w:kern w:val="0"/>
          <w:lang w:eastAsia="hr-HR"/>
          <w14:ligatures w14:val="none"/>
        </w:rPr>
        <w:t xml:space="preserve">, zdravstvene usluge u iznosu od </w:t>
      </w:r>
      <w:r w:rsidR="007F6300">
        <w:rPr>
          <w:rFonts w:ascii="Times New Roman" w:eastAsia="SimSun" w:hAnsi="Times New Roman" w:cs="Times New Roman"/>
          <w:bCs/>
          <w:kern w:val="0"/>
          <w:lang w:eastAsia="hr-HR"/>
          <w14:ligatures w14:val="none"/>
        </w:rPr>
        <w:t>392,40 eura</w:t>
      </w:r>
      <w:r w:rsidRPr="000B0818">
        <w:rPr>
          <w:rFonts w:ascii="Times New Roman" w:eastAsia="SimSun" w:hAnsi="Times New Roman" w:cs="Times New Roman"/>
          <w:bCs/>
          <w:kern w:val="0"/>
          <w:lang w:eastAsia="hr-HR"/>
          <w14:ligatures w14:val="none"/>
        </w:rPr>
        <w:t>, intelektualne i osobne usluge u iznosu od  14.</w:t>
      </w:r>
      <w:r w:rsidR="007F6300">
        <w:rPr>
          <w:rFonts w:ascii="Times New Roman" w:eastAsia="SimSun" w:hAnsi="Times New Roman" w:cs="Times New Roman"/>
          <w:bCs/>
          <w:kern w:val="0"/>
          <w:lang w:eastAsia="hr-HR"/>
          <w14:ligatures w14:val="none"/>
        </w:rPr>
        <w:t>258,20 eura</w:t>
      </w:r>
      <w:r w:rsidRPr="000B0818">
        <w:rPr>
          <w:rFonts w:ascii="Times New Roman" w:eastAsia="SimSun" w:hAnsi="Times New Roman" w:cs="Times New Roman"/>
          <w:bCs/>
          <w:kern w:val="0"/>
          <w:lang w:eastAsia="hr-HR"/>
          <w14:ligatures w14:val="none"/>
        </w:rPr>
        <w:t xml:space="preserve"> zajedno čine skupinu rashoda za usluge. Ostali nespomenuti rashodi poslovanja sastoje se od rashoda</w:t>
      </w:r>
      <w:r w:rsidR="007F6300">
        <w:rPr>
          <w:rFonts w:ascii="Times New Roman" w:eastAsia="SimSun" w:hAnsi="Times New Roman" w:cs="Times New Roman"/>
          <w:bCs/>
          <w:kern w:val="0"/>
          <w:lang w:eastAsia="hr-HR"/>
          <w14:ligatures w14:val="none"/>
        </w:rPr>
        <w:t xml:space="preserve"> za premije osiguranja u iznosu od 261,00 eura, rashoda</w:t>
      </w:r>
      <w:r w:rsidRPr="000B0818">
        <w:rPr>
          <w:rFonts w:ascii="Times New Roman" w:eastAsia="SimSun" w:hAnsi="Times New Roman" w:cs="Times New Roman"/>
          <w:bCs/>
          <w:kern w:val="0"/>
          <w:lang w:eastAsia="hr-HR"/>
          <w14:ligatures w14:val="none"/>
        </w:rPr>
        <w:t xml:space="preserve"> za pristojbe i naknade u iznosu od 127,44 </w:t>
      </w:r>
      <w:r w:rsidR="007F6300">
        <w:rPr>
          <w:rFonts w:ascii="Times New Roman" w:eastAsia="SimSun" w:hAnsi="Times New Roman" w:cs="Times New Roman"/>
          <w:bCs/>
          <w:kern w:val="0"/>
          <w:lang w:eastAsia="hr-HR"/>
          <w14:ligatures w14:val="none"/>
        </w:rPr>
        <w:t>eura te ostalih nespomenutih rashoda u iznosu od 140,00 eura.</w:t>
      </w:r>
    </w:p>
    <w:p w14:paraId="4A53A974" w14:textId="77777777" w:rsidR="000B0818" w:rsidRPr="000B0818" w:rsidRDefault="000B0818" w:rsidP="000B0818">
      <w:pPr>
        <w:spacing w:after="0" w:line="360" w:lineRule="auto"/>
        <w:jc w:val="both"/>
        <w:rPr>
          <w:rFonts w:ascii="Times New Roman" w:eastAsia="SimSun" w:hAnsi="Times New Roman" w:cs="Times New Roman"/>
          <w:bCs/>
          <w:kern w:val="0"/>
          <w:lang w:eastAsia="hr-HR"/>
          <w14:ligatures w14:val="none"/>
        </w:rPr>
      </w:pPr>
    </w:p>
    <w:p w14:paraId="0698942C" w14:textId="77777777" w:rsidR="000B0818" w:rsidRPr="000B0818" w:rsidRDefault="000B0818" w:rsidP="000B0818">
      <w:pPr>
        <w:spacing w:after="0" w:line="240" w:lineRule="auto"/>
        <w:jc w:val="both"/>
        <w:rPr>
          <w:rFonts w:ascii="Times New Roman" w:eastAsia="SimSun" w:hAnsi="Times New Roman" w:cs="Times New Roman"/>
          <w:b/>
          <w:i/>
          <w:iCs/>
          <w:kern w:val="0"/>
          <w:lang w:eastAsia="hr-HR"/>
          <w14:ligatures w14:val="none"/>
        </w:rPr>
      </w:pPr>
      <w:r w:rsidRPr="000B0818">
        <w:rPr>
          <w:rFonts w:ascii="Times New Roman" w:eastAsia="SimSun" w:hAnsi="Times New Roman" w:cs="Times New Roman"/>
          <w:b/>
          <w:i/>
          <w:iCs/>
          <w:kern w:val="0"/>
          <w:lang w:eastAsia="hr-HR"/>
          <w14:ligatures w14:val="none"/>
        </w:rPr>
        <w:t xml:space="preserve">Financijski rashodi </w:t>
      </w:r>
    </w:p>
    <w:p w14:paraId="267904F9" w14:textId="77777777" w:rsidR="000B0818" w:rsidRPr="000B0818" w:rsidRDefault="000B0818" w:rsidP="000B0818">
      <w:pPr>
        <w:spacing w:after="0" w:line="240" w:lineRule="auto"/>
        <w:jc w:val="both"/>
        <w:rPr>
          <w:rFonts w:ascii="Times New Roman" w:eastAsia="SimSun" w:hAnsi="Times New Roman" w:cs="Times New Roman"/>
          <w:kern w:val="0"/>
          <w:lang w:eastAsia="hr-HR"/>
          <w14:ligatures w14:val="none"/>
        </w:rPr>
      </w:pPr>
    </w:p>
    <w:p w14:paraId="0BC085A6" w14:textId="14435901" w:rsidR="000B0818" w:rsidRPr="000B0818" w:rsidRDefault="000B0818" w:rsidP="000B0818">
      <w:pPr>
        <w:spacing w:after="0" w:line="360" w:lineRule="auto"/>
        <w:jc w:val="both"/>
        <w:rPr>
          <w:rFonts w:ascii="Times New Roman" w:eastAsia="SimSun" w:hAnsi="Times New Roman" w:cs="Times New Roman"/>
          <w:kern w:val="0"/>
          <w:lang w:eastAsia="hr-HR"/>
          <w14:ligatures w14:val="none"/>
        </w:rPr>
      </w:pPr>
      <w:r w:rsidRPr="000B0818">
        <w:rPr>
          <w:rFonts w:ascii="Times New Roman" w:eastAsia="SimSun" w:hAnsi="Times New Roman" w:cs="Times New Roman"/>
          <w:kern w:val="0"/>
          <w:lang w:eastAsia="hr-HR"/>
          <w14:ligatures w14:val="none"/>
        </w:rPr>
        <w:t xml:space="preserve">Ostvarenje financijskih rashoda iznosi </w:t>
      </w:r>
      <w:r w:rsidR="007F6300">
        <w:rPr>
          <w:rFonts w:ascii="Times New Roman" w:eastAsia="SimSun" w:hAnsi="Times New Roman" w:cs="Times New Roman"/>
          <w:kern w:val="0"/>
          <w:lang w:eastAsia="hr-HR"/>
          <w14:ligatures w14:val="none"/>
        </w:rPr>
        <w:t>790,17 eura</w:t>
      </w:r>
      <w:r w:rsidRPr="000B0818">
        <w:rPr>
          <w:rFonts w:ascii="Times New Roman" w:eastAsia="SimSun" w:hAnsi="Times New Roman" w:cs="Times New Roman"/>
          <w:kern w:val="0"/>
          <w:lang w:eastAsia="hr-HR"/>
          <w14:ligatures w14:val="none"/>
        </w:rPr>
        <w:t xml:space="preserve"> što je </w:t>
      </w:r>
      <w:r w:rsidR="007F6300">
        <w:rPr>
          <w:rFonts w:ascii="Times New Roman" w:eastAsia="SimSun" w:hAnsi="Times New Roman" w:cs="Times New Roman"/>
          <w:kern w:val="0"/>
          <w:lang w:eastAsia="hr-HR"/>
          <w14:ligatures w14:val="none"/>
        </w:rPr>
        <w:t>1,87</w:t>
      </w:r>
      <w:r w:rsidRPr="000B0818">
        <w:rPr>
          <w:rFonts w:ascii="Times New Roman" w:eastAsia="SimSun" w:hAnsi="Times New Roman" w:cs="Times New Roman"/>
          <w:kern w:val="0"/>
          <w:lang w:eastAsia="hr-HR"/>
          <w14:ligatures w14:val="none"/>
        </w:rPr>
        <w:t>% više u odnosu na 202</w:t>
      </w:r>
      <w:r w:rsidR="007F6300">
        <w:rPr>
          <w:rFonts w:ascii="Times New Roman" w:eastAsia="SimSun" w:hAnsi="Times New Roman" w:cs="Times New Roman"/>
          <w:kern w:val="0"/>
          <w:lang w:eastAsia="hr-HR"/>
          <w14:ligatures w14:val="none"/>
        </w:rPr>
        <w:t>4</w:t>
      </w:r>
      <w:r w:rsidRPr="000B0818">
        <w:rPr>
          <w:rFonts w:ascii="Times New Roman" w:eastAsia="SimSun" w:hAnsi="Times New Roman" w:cs="Times New Roman"/>
          <w:kern w:val="0"/>
          <w:lang w:eastAsia="hr-HR"/>
          <w14:ligatures w14:val="none"/>
        </w:rPr>
        <w:t xml:space="preserve">. godinu i više za </w:t>
      </w:r>
      <w:r w:rsidR="007F6300">
        <w:rPr>
          <w:rFonts w:ascii="Times New Roman" w:eastAsia="SimSun" w:hAnsi="Times New Roman" w:cs="Times New Roman"/>
          <w:kern w:val="0"/>
          <w:lang w:eastAsia="hr-HR"/>
          <w14:ligatures w14:val="none"/>
        </w:rPr>
        <w:t>1,23</w:t>
      </w:r>
      <w:r w:rsidRPr="000B0818">
        <w:rPr>
          <w:rFonts w:ascii="Times New Roman" w:eastAsia="SimSun" w:hAnsi="Times New Roman" w:cs="Times New Roman"/>
          <w:kern w:val="0"/>
          <w:lang w:eastAsia="hr-HR"/>
          <w14:ligatures w14:val="none"/>
        </w:rPr>
        <w:t>% od godišnjeg plana, a odnosi se na bankarske usluge i usluge platnog prometa.</w:t>
      </w:r>
    </w:p>
    <w:p w14:paraId="73D3E5D4" w14:textId="77777777" w:rsidR="000B0818" w:rsidRPr="000B0818" w:rsidRDefault="000B0818" w:rsidP="000B0818">
      <w:pPr>
        <w:spacing w:after="0" w:line="360" w:lineRule="auto"/>
        <w:jc w:val="both"/>
        <w:rPr>
          <w:rFonts w:ascii="Times New Roman" w:eastAsia="SimSun" w:hAnsi="Times New Roman" w:cs="Times New Roman"/>
          <w:b/>
          <w:bCs/>
          <w:i/>
          <w:iCs/>
          <w:kern w:val="0"/>
          <w:lang w:eastAsia="hr-HR"/>
          <w14:ligatures w14:val="none"/>
        </w:rPr>
      </w:pPr>
    </w:p>
    <w:p w14:paraId="2324DC85" w14:textId="77777777" w:rsidR="000B0818" w:rsidRPr="000B0818" w:rsidRDefault="000B0818" w:rsidP="000B0818">
      <w:pPr>
        <w:spacing w:after="0" w:line="360" w:lineRule="auto"/>
        <w:jc w:val="both"/>
        <w:rPr>
          <w:rFonts w:ascii="Times New Roman" w:eastAsia="SimSun" w:hAnsi="Times New Roman" w:cs="Times New Roman"/>
          <w:b/>
          <w:bCs/>
          <w:i/>
          <w:iCs/>
          <w:kern w:val="0"/>
          <w:lang w:eastAsia="hr-HR"/>
          <w14:ligatures w14:val="none"/>
        </w:rPr>
      </w:pPr>
      <w:r w:rsidRPr="000B0818">
        <w:rPr>
          <w:rFonts w:ascii="Times New Roman" w:eastAsia="SimSun" w:hAnsi="Times New Roman" w:cs="Times New Roman"/>
          <w:b/>
          <w:bCs/>
          <w:i/>
          <w:iCs/>
          <w:kern w:val="0"/>
          <w:lang w:eastAsia="hr-HR"/>
          <w14:ligatures w14:val="none"/>
        </w:rPr>
        <w:t>Rashodi za nabavu nefinancijske imovine</w:t>
      </w:r>
      <w:r w:rsidRPr="000B0818">
        <w:rPr>
          <w:rFonts w:ascii="Times New Roman" w:eastAsia="SimSun" w:hAnsi="Times New Roman" w:cs="Times New Roman"/>
          <w:kern w:val="0"/>
          <w:lang w:eastAsia="hr-HR"/>
          <w14:ligatures w14:val="none"/>
        </w:rPr>
        <w:t xml:space="preserve"> </w:t>
      </w:r>
    </w:p>
    <w:p w14:paraId="582CA060" w14:textId="77777777" w:rsidR="000B0818" w:rsidRPr="000B0818" w:rsidRDefault="000B0818" w:rsidP="000B0818">
      <w:pPr>
        <w:spacing w:after="0" w:line="240" w:lineRule="auto"/>
        <w:jc w:val="both"/>
        <w:rPr>
          <w:rFonts w:ascii="Times New Roman" w:eastAsia="SimSun" w:hAnsi="Times New Roman" w:cs="Times New Roman"/>
          <w:kern w:val="0"/>
          <w:lang w:eastAsia="hr-HR"/>
          <w14:ligatures w14:val="none"/>
        </w:rPr>
      </w:pPr>
    </w:p>
    <w:p w14:paraId="43115658" w14:textId="6D9D0508" w:rsidR="000B0818" w:rsidRPr="000B0818" w:rsidRDefault="000B0818" w:rsidP="000B0818">
      <w:pPr>
        <w:spacing w:after="0" w:line="360" w:lineRule="auto"/>
        <w:jc w:val="both"/>
        <w:rPr>
          <w:rFonts w:ascii="Times New Roman" w:eastAsia="SimSun" w:hAnsi="Times New Roman" w:cs="Times New Roman"/>
          <w:kern w:val="0"/>
          <w:lang w:eastAsia="hr-HR"/>
          <w14:ligatures w14:val="none"/>
        </w:rPr>
      </w:pPr>
      <w:r w:rsidRPr="000B0818">
        <w:rPr>
          <w:rFonts w:ascii="Times New Roman" w:eastAsia="SimSun" w:hAnsi="Times New Roman" w:cs="Times New Roman"/>
          <w:kern w:val="0"/>
          <w:lang w:eastAsia="hr-HR"/>
          <w14:ligatures w14:val="none"/>
        </w:rPr>
        <w:t>Rashodi za nabavu nefinancijske imovine zabilježeni su u iznosu od 3.</w:t>
      </w:r>
      <w:r w:rsidR="007F6300">
        <w:rPr>
          <w:rFonts w:ascii="Times New Roman" w:eastAsia="SimSun" w:hAnsi="Times New Roman" w:cs="Times New Roman"/>
          <w:kern w:val="0"/>
          <w:lang w:eastAsia="hr-HR"/>
          <w14:ligatures w14:val="none"/>
        </w:rPr>
        <w:t>026,70 eura</w:t>
      </w:r>
      <w:r w:rsidRPr="000B0818">
        <w:rPr>
          <w:rFonts w:ascii="Times New Roman" w:eastAsia="SimSun" w:hAnsi="Times New Roman" w:cs="Times New Roman"/>
          <w:kern w:val="0"/>
          <w:lang w:eastAsia="hr-HR"/>
          <w14:ligatures w14:val="none"/>
        </w:rPr>
        <w:t xml:space="preserve"> što je za </w:t>
      </w:r>
      <w:r w:rsidR="007F6300">
        <w:rPr>
          <w:rFonts w:ascii="Times New Roman" w:eastAsia="SimSun" w:hAnsi="Times New Roman" w:cs="Times New Roman"/>
          <w:kern w:val="0"/>
          <w:lang w:eastAsia="hr-HR"/>
          <w14:ligatures w14:val="none"/>
        </w:rPr>
        <w:t>3,11</w:t>
      </w:r>
      <w:r w:rsidRPr="000B0818">
        <w:rPr>
          <w:rFonts w:ascii="Times New Roman" w:eastAsia="SimSun" w:hAnsi="Times New Roman" w:cs="Times New Roman"/>
          <w:kern w:val="0"/>
          <w:lang w:eastAsia="hr-HR"/>
          <w14:ligatures w14:val="none"/>
        </w:rPr>
        <w:t>% manje u odnosu na isto razdoblje prošle godine i manje 1</w:t>
      </w:r>
      <w:r w:rsidR="007F6300">
        <w:rPr>
          <w:rFonts w:ascii="Times New Roman" w:eastAsia="SimSun" w:hAnsi="Times New Roman" w:cs="Times New Roman"/>
          <w:kern w:val="0"/>
          <w:lang w:eastAsia="hr-HR"/>
          <w14:ligatures w14:val="none"/>
        </w:rPr>
        <w:t>5,22</w:t>
      </w:r>
      <w:r w:rsidRPr="000B0818">
        <w:rPr>
          <w:rFonts w:ascii="Times New Roman" w:eastAsia="SimSun" w:hAnsi="Times New Roman" w:cs="Times New Roman"/>
          <w:kern w:val="0"/>
          <w:lang w:eastAsia="hr-HR"/>
          <w14:ligatures w14:val="none"/>
        </w:rPr>
        <w:t xml:space="preserve">% od godišnjeg plana. Sastoje se od rashoda za nabavu </w:t>
      </w:r>
      <w:r w:rsidR="007F6300">
        <w:rPr>
          <w:rFonts w:ascii="Times New Roman" w:eastAsia="SimSun" w:hAnsi="Times New Roman" w:cs="Times New Roman"/>
          <w:kern w:val="0"/>
          <w:lang w:eastAsia="hr-HR"/>
          <w14:ligatures w14:val="none"/>
        </w:rPr>
        <w:t>proizvedene</w:t>
      </w:r>
      <w:r w:rsidRPr="000B0818">
        <w:rPr>
          <w:rFonts w:ascii="Times New Roman" w:eastAsia="SimSun" w:hAnsi="Times New Roman" w:cs="Times New Roman"/>
          <w:kern w:val="0"/>
          <w:lang w:eastAsia="hr-HR"/>
          <w14:ligatures w14:val="none"/>
        </w:rPr>
        <w:t xml:space="preserve"> dugotrajne imovine (</w:t>
      </w:r>
      <w:r w:rsidR="00C7124C">
        <w:rPr>
          <w:rFonts w:ascii="Times New Roman" w:eastAsia="SimSun" w:hAnsi="Times New Roman" w:cs="Times New Roman"/>
          <w:kern w:val="0"/>
          <w:lang w:eastAsia="hr-HR"/>
          <w14:ligatures w14:val="none"/>
        </w:rPr>
        <w:t>postrojenja i oprema, uredska oprema i namještaj, oprema za održavanje i zaštitu, sportska i glazbena oprema te uređaji, strojevi i oprema za ostale namjene</w:t>
      </w:r>
      <w:r w:rsidRPr="000B0818">
        <w:rPr>
          <w:rFonts w:ascii="Times New Roman" w:eastAsia="SimSun" w:hAnsi="Times New Roman" w:cs="Times New Roman"/>
          <w:kern w:val="0"/>
          <w:lang w:eastAsia="hr-HR"/>
          <w14:ligatures w14:val="none"/>
        </w:rPr>
        <w:t>)</w:t>
      </w:r>
      <w:r w:rsidR="00C7124C">
        <w:rPr>
          <w:rFonts w:ascii="Times New Roman" w:eastAsia="SimSun" w:hAnsi="Times New Roman" w:cs="Times New Roman"/>
          <w:kern w:val="0"/>
          <w:lang w:eastAsia="hr-HR"/>
          <w14:ligatures w14:val="none"/>
        </w:rPr>
        <w:t>.</w:t>
      </w:r>
    </w:p>
    <w:p w14:paraId="018D2116" w14:textId="77777777" w:rsidR="000B0818" w:rsidRDefault="000B0818" w:rsidP="000B0818">
      <w:pPr>
        <w:tabs>
          <w:tab w:val="left" w:pos="6036"/>
        </w:tabs>
      </w:pPr>
    </w:p>
    <w:p w14:paraId="165DB9BB" w14:textId="77777777" w:rsidR="00C7124C" w:rsidRDefault="00C7124C" w:rsidP="000B0818">
      <w:pPr>
        <w:tabs>
          <w:tab w:val="left" w:pos="6036"/>
        </w:tabs>
      </w:pPr>
    </w:p>
    <w:p w14:paraId="4B9A6E8D" w14:textId="77777777" w:rsidR="00C7124C" w:rsidRDefault="00C7124C" w:rsidP="000B0818">
      <w:pPr>
        <w:tabs>
          <w:tab w:val="left" w:pos="6036"/>
        </w:tabs>
      </w:pPr>
    </w:p>
    <w:p w14:paraId="7292EAD2" w14:textId="77777777" w:rsidR="00C7124C" w:rsidRDefault="00C7124C" w:rsidP="000B0818">
      <w:pPr>
        <w:tabs>
          <w:tab w:val="left" w:pos="6036"/>
        </w:tabs>
      </w:pPr>
    </w:p>
    <w:p w14:paraId="11E8F6ED" w14:textId="77777777" w:rsidR="00C7124C" w:rsidRDefault="00C7124C" w:rsidP="000B0818">
      <w:pPr>
        <w:tabs>
          <w:tab w:val="left" w:pos="6036"/>
        </w:tabs>
      </w:pPr>
    </w:p>
    <w:p w14:paraId="3C85CC7F" w14:textId="77777777" w:rsidR="00C7124C" w:rsidRDefault="00C7124C" w:rsidP="000B0818">
      <w:pPr>
        <w:tabs>
          <w:tab w:val="left" w:pos="6036"/>
        </w:tabs>
      </w:pPr>
    </w:p>
    <w:p w14:paraId="3029E4C3" w14:textId="77777777" w:rsidR="00C7124C" w:rsidRDefault="00C7124C" w:rsidP="000B0818">
      <w:pPr>
        <w:tabs>
          <w:tab w:val="left" w:pos="6036"/>
        </w:tabs>
      </w:pPr>
    </w:p>
    <w:p w14:paraId="124DB325" w14:textId="77777777" w:rsidR="00C7124C" w:rsidRDefault="00C7124C" w:rsidP="000B0818">
      <w:pPr>
        <w:tabs>
          <w:tab w:val="left" w:pos="6036"/>
        </w:tabs>
      </w:pPr>
    </w:p>
    <w:p w14:paraId="664A7A77" w14:textId="77777777" w:rsidR="00C7124C" w:rsidRPr="00C7124C" w:rsidRDefault="00C7124C" w:rsidP="00C7124C">
      <w:pPr>
        <w:spacing w:after="0" w:line="240" w:lineRule="auto"/>
        <w:jc w:val="center"/>
        <w:rPr>
          <w:rFonts w:ascii="Times New Roman" w:eastAsia="SimSun" w:hAnsi="Times New Roman" w:cs="Times New Roman"/>
          <w:kern w:val="0"/>
          <w:lang w:eastAsia="hr-HR"/>
          <w14:ligatures w14:val="none"/>
        </w:rPr>
      </w:pPr>
      <w:r w:rsidRPr="00C7124C">
        <w:rPr>
          <w:rFonts w:ascii="Times New Roman" w:eastAsia="SimSun" w:hAnsi="Times New Roman" w:cs="Times New Roman"/>
          <w:b/>
          <w:kern w:val="0"/>
          <w:lang w:eastAsia="hr-HR"/>
          <w14:ligatures w14:val="none"/>
        </w:rPr>
        <w:lastRenderedPageBreak/>
        <w:t>OBRAZLOŽENJE POSEBNOG DIJELA IZVJEŠTAJA O IZVRŠENJU PRORAČUNA</w:t>
      </w:r>
    </w:p>
    <w:p w14:paraId="524914ED" w14:textId="77777777" w:rsidR="00C7124C" w:rsidRPr="00C7124C" w:rsidRDefault="00C7124C" w:rsidP="00C7124C">
      <w:pPr>
        <w:spacing w:after="0" w:line="240" w:lineRule="auto"/>
        <w:jc w:val="center"/>
        <w:rPr>
          <w:rFonts w:ascii="Times New Roman" w:eastAsia="SimSun" w:hAnsi="Times New Roman" w:cs="Times New Roman"/>
          <w:kern w:val="0"/>
          <w:lang w:eastAsia="hr-HR"/>
          <w14:ligatures w14:val="none"/>
        </w:rPr>
      </w:pPr>
    </w:p>
    <w:p w14:paraId="58B49EF0" w14:textId="77777777" w:rsidR="00C7124C" w:rsidRPr="00C7124C" w:rsidRDefault="00C7124C" w:rsidP="00C7124C">
      <w:pPr>
        <w:spacing w:after="0" w:line="240" w:lineRule="auto"/>
        <w:jc w:val="center"/>
        <w:rPr>
          <w:rFonts w:ascii="Times New Roman" w:eastAsia="SimSun" w:hAnsi="Times New Roman" w:cs="Times New Roman"/>
          <w:kern w:val="0"/>
          <w:lang w:eastAsia="hr-HR"/>
          <w14:ligatures w14:val="none"/>
        </w:rPr>
      </w:pPr>
    </w:p>
    <w:p w14:paraId="49EFA1C2" w14:textId="77777777"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U obrazloženju posebnog dijela izvještaja o izvršenju iskazano je izvršenje programa kako slijedi:</w:t>
      </w:r>
    </w:p>
    <w:p w14:paraId="091D7575" w14:textId="77777777" w:rsidR="008B65F0" w:rsidRPr="008B65F0" w:rsidRDefault="008B65F0" w:rsidP="005F7729">
      <w:pPr>
        <w:tabs>
          <w:tab w:val="left" w:pos="6036"/>
        </w:tabs>
        <w:jc w:val="both"/>
        <w:rPr>
          <w:rFonts w:ascii="Times New Roman" w:hAnsi="Times New Roman" w:cs="Times New Roman"/>
          <w:b/>
          <w:bCs/>
        </w:rPr>
      </w:pPr>
      <w:r w:rsidRPr="008B65F0">
        <w:rPr>
          <w:rFonts w:ascii="Times New Roman" w:hAnsi="Times New Roman" w:cs="Times New Roman"/>
          <w:b/>
          <w:bCs/>
        </w:rPr>
        <w:t>RAZDJEL 001 JEDINSTVENI UPRAVNI ODJEL</w:t>
      </w:r>
    </w:p>
    <w:p w14:paraId="4A2FC526" w14:textId="77777777" w:rsidR="008B65F0" w:rsidRDefault="008B65F0" w:rsidP="005F7729">
      <w:pPr>
        <w:tabs>
          <w:tab w:val="left" w:pos="6036"/>
        </w:tabs>
        <w:jc w:val="both"/>
        <w:rPr>
          <w:rFonts w:ascii="Times New Roman" w:hAnsi="Times New Roman" w:cs="Times New Roman"/>
          <w:b/>
          <w:bCs/>
        </w:rPr>
      </w:pPr>
      <w:r w:rsidRPr="008B65F0">
        <w:rPr>
          <w:rFonts w:ascii="Times New Roman" w:hAnsi="Times New Roman" w:cs="Times New Roman"/>
          <w:b/>
          <w:bCs/>
        </w:rPr>
        <w:t>GLAVA 00104 PREDŠKOLSKI ODGOJ</w:t>
      </w:r>
    </w:p>
    <w:p w14:paraId="00414044" w14:textId="4EF62EEB" w:rsidR="008B65F0" w:rsidRDefault="008B65F0" w:rsidP="005F7729">
      <w:pPr>
        <w:tabs>
          <w:tab w:val="left" w:pos="6036"/>
        </w:tabs>
        <w:jc w:val="both"/>
        <w:rPr>
          <w:rFonts w:ascii="Times New Roman" w:hAnsi="Times New Roman" w:cs="Times New Roman"/>
        </w:rPr>
      </w:pPr>
      <w:r>
        <w:rPr>
          <w:rFonts w:ascii="Times New Roman" w:hAnsi="Times New Roman" w:cs="Times New Roman"/>
        </w:rPr>
        <w:t>Planirani su rashodi u iznosu od 509.680,00 eura, a izvršeni u iznosu od 504.620,53 eura, što predstavlja 99,01%.</w:t>
      </w:r>
    </w:p>
    <w:p w14:paraId="2E17E263" w14:textId="52B0B875" w:rsid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b/>
          <w:bCs/>
        </w:rPr>
        <w:t>GLAVNI PROGRAM P01</w:t>
      </w:r>
      <w:r>
        <w:rPr>
          <w:rFonts w:ascii="Times New Roman" w:hAnsi="Times New Roman" w:cs="Times New Roman"/>
        </w:rPr>
        <w:t xml:space="preserve"> PREDŠKOLSKI ODGOJ I OSNOVNO OBRAZOVANJE</w:t>
      </w:r>
    </w:p>
    <w:p w14:paraId="25A10420" w14:textId="2529A598" w:rsid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b/>
          <w:bCs/>
        </w:rPr>
        <w:t>PROGRAM 1000</w:t>
      </w:r>
      <w:r>
        <w:rPr>
          <w:rFonts w:ascii="Times New Roman" w:hAnsi="Times New Roman" w:cs="Times New Roman"/>
        </w:rPr>
        <w:t xml:space="preserve"> PREDŠKOLSKI ODGOJ I OSNOVNO OBRAZOVANJE</w:t>
      </w:r>
    </w:p>
    <w:p w14:paraId="442B8C02" w14:textId="2A29631B" w:rsidR="008B65F0" w:rsidRDefault="008B65F0" w:rsidP="005F7729">
      <w:pPr>
        <w:tabs>
          <w:tab w:val="left" w:pos="6036"/>
        </w:tabs>
        <w:jc w:val="both"/>
        <w:rPr>
          <w:rFonts w:ascii="Times New Roman" w:hAnsi="Times New Roman" w:cs="Times New Roman"/>
          <w:b/>
          <w:bCs/>
        </w:rPr>
      </w:pPr>
      <w:r w:rsidRPr="008B65F0">
        <w:rPr>
          <w:rFonts w:ascii="Times New Roman" w:hAnsi="Times New Roman" w:cs="Times New Roman"/>
          <w:b/>
          <w:bCs/>
        </w:rPr>
        <w:t>Aktivnost A100001 Redovna djelatnost Dječjeg vrtića</w:t>
      </w:r>
    </w:p>
    <w:p w14:paraId="73B22DF4" w14:textId="44482401" w:rsidR="008B65F0" w:rsidRDefault="008B65F0" w:rsidP="005F7729">
      <w:pPr>
        <w:tabs>
          <w:tab w:val="left" w:pos="6036"/>
        </w:tabs>
        <w:jc w:val="both"/>
        <w:rPr>
          <w:rFonts w:ascii="Times New Roman" w:hAnsi="Times New Roman" w:cs="Times New Roman"/>
          <w:b/>
          <w:bCs/>
        </w:rPr>
      </w:pPr>
      <w:r>
        <w:rPr>
          <w:rFonts w:ascii="Times New Roman" w:hAnsi="Times New Roman" w:cs="Times New Roman"/>
          <w:b/>
          <w:bCs/>
        </w:rPr>
        <w:t xml:space="preserve">Izvor 1. Opći prihodi i primici </w:t>
      </w:r>
    </w:p>
    <w:p w14:paraId="1A954314" w14:textId="24CA5B7E" w:rsidR="008B65F0" w:rsidRDefault="008B65F0" w:rsidP="005F7729">
      <w:pPr>
        <w:tabs>
          <w:tab w:val="left" w:pos="6036"/>
        </w:tabs>
        <w:jc w:val="both"/>
        <w:rPr>
          <w:rFonts w:ascii="Times New Roman" w:hAnsi="Times New Roman" w:cs="Times New Roman"/>
          <w:b/>
          <w:bCs/>
        </w:rPr>
      </w:pPr>
      <w:r>
        <w:rPr>
          <w:rFonts w:ascii="Times New Roman" w:hAnsi="Times New Roman" w:cs="Times New Roman"/>
          <w:b/>
          <w:bCs/>
        </w:rPr>
        <w:t>Izvor 1.1 Opći prihodi i primici</w:t>
      </w:r>
    </w:p>
    <w:p w14:paraId="57CE6298" w14:textId="5D18E636" w:rsidR="008B65F0" w:rsidRPr="008B65F0" w:rsidRDefault="008B65F0" w:rsidP="005F7729">
      <w:pPr>
        <w:tabs>
          <w:tab w:val="left" w:pos="6036"/>
        </w:tabs>
        <w:jc w:val="both"/>
        <w:rPr>
          <w:rFonts w:ascii="Times New Roman" w:hAnsi="Times New Roman" w:cs="Times New Roman"/>
        </w:rPr>
      </w:pPr>
      <w:r>
        <w:rPr>
          <w:rFonts w:ascii="Times New Roman" w:hAnsi="Times New Roman" w:cs="Times New Roman"/>
        </w:rPr>
        <w:t>Izvršeni su rashodi u iznosu od 5.100,00 eura, a odnose se na rashode za zaposlene.</w:t>
      </w:r>
    </w:p>
    <w:p w14:paraId="25AB0CC3" w14:textId="77777777" w:rsidR="008B65F0"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t>PRORAČUNSKI KORISNIK 32150 DJEČJI VRTIĆ STON</w:t>
      </w:r>
    </w:p>
    <w:p w14:paraId="2E155308" w14:textId="77777777" w:rsidR="008B65F0"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t>Izvor 1. Opći prihodi i primici</w:t>
      </w:r>
    </w:p>
    <w:p w14:paraId="0B295C55" w14:textId="4CC7DA55" w:rsidR="00F053E3"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t>Izvor 1.1. Opći prihodi i primici</w:t>
      </w:r>
    </w:p>
    <w:p w14:paraId="1B7ABA2F" w14:textId="1642D0C6"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Planirani su rashodi u iznosu od </w:t>
      </w:r>
      <w:r w:rsidR="00F053E3">
        <w:rPr>
          <w:rFonts w:ascii="Times New Roman" w:hAnsi="Times New Roman" w:cs="Times New Roman"/>
        </w:rPr>
        <w:t>400.010,00 eura</w:t>
      </w:r>
      <w:r w:rsidRPr="008B65F0">
        <w:rPr>
          <w:rFonts w:ascii="Times New Roman" w:hAnsi="Times New Roman" w:cs="Times New Roman"/>
        </w:rPr>
        <w:t xml:space="preserve">, a izvršeni u iznosu od </w:t>
      </w:r>
      <w:r w:rsidR="00F053E3">
        <w:rPr>
          <w:rFonts w:ascii="Times New Roman" w:hAnsi="Times New Roman" w:cs="Times New Roman"/>
        </w:rPr>
        <w:t>499.520,53 eura</w:t>
      </w:r>
      <w:r w:rsidRPr="008B65F0">
        <w:rPr>
          <w:rFonts w:ascii="Times New Roman" w:hAnsi="Times New Roman" w:cs="Times New Roman"/>
        </w:rPr>
        <w:t>, što predstavlja</w:t>
      </w:r>
      <w:r w:rsidR="00F053E3">
        <w:rPr>
          <w:rFonts w:ascii="Times New Roman" w:hAnsi="Times New Roman" w:cs="Times New Roman"/>
        </w:rPr>
        <w:t xml:space="preserve"> 99,00%</w:t>
      </w:r>
      <w:r w:rsidRPr="008B65F0">
        <w:rPr>
          <w:rFonts w:ascii="Times New Roman" w:hAnsi="Times New Roman" w:cs="Times New Roman"/>
        </w:rPr>
        <w:t>.</w:t>
      </w:r>
    </w:p>
    <w:p w14:paraId="4E455498" w14:textId="77777777" w:rsidR="008B65F0"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t>Izvor 3. Vlastiti prihodi</w:t>
      </w:r>
    </w:p>
    <w:p w14:paraId="54CB3BE9" w14:textId="77777777" w:rsidR="008B65F0"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t>Izvor 3.2. Vlastiti prihodi - PK</w:t>
      </w:r>
    </w:p>
    <w:p w14:paraId="13C63AAE" w14:textId="4C2D97AD"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Planirani su rashodi u iznosu od 20,00 </w:t>
      </w:r>
      <w:r w:rsidR="00F053E3">
        <w:rPr>
          <w:rFonts w:ascii="Times New Roman" w:hAnsi="Times New Roman" w:cs="Times New Roman"/>
        </w:rPr>
        <w:t>eura</w:t>
      </w:r>
      <w:r w:rsidRPr="008B65F0">
        <w:rPr>
          <w:rFonts w:ascii="Times New Roman" w:hAnsi="Times New Roman" w:cs="Times New Roman"/>
        </w:rPr>
        <w:t>, a nisu izvršeni u promatranom razdoblju.</w:t>
      </w:r>
    </w:p>
    <w:p w14:paraId="36C5E14E" w14:textId="77777777" w:rsidR="008B65F0"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t>Izvor 4. Ostali prihodi za posebne namjene</w:t>
      </w:r>
    </w:p>
    <w:p w14:paraId="60613ABC" w14:textId="77777777" w:rsidR="008B65F0"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t>Izvor 4.V. Sufinanciranje cijene vrtića</w:t>
      </w:r>
    </w:p>
    <w:p w14:paraId="0D17307E" w14:textId="59509C73"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Planirani su rashodi u iznosu od 5</w:t>
      </w:r>
      <w:r w:rsidR="00F053E3">
        <w:rPr>
          <w:rFonts w:ascii="Times New Roman" w:hAnsi="Times New Roman" w:cs="Times New Roman"/>
        </w:rPr>
        <w:t>5.480,00 eura</w:t>
      </w:r>
      <w:r w:rsidRPr="008B65F0">
        <w:rPr>
          <w:rFonts w:ascii="Times New Roman" w:hAnsi="Times New Roman" w:cs="Times New Roman"/>
        </w:rPr>
        <w:t xml:space="preserve">, a izvršeni u iznosu od </w:t>
      </w:r>
      <w:r w:rsidR="00F053E3">
        <w:rPr>
          <w:rFonts w:ascii="Times New Roman" w:hAnsi="Times New Roman" w:cs="Times New Roman"/>
        </w:rPr>
        <w:t>53.528,69 eura</w:t>
      </w:r>
      <w:r w:rsidRPr="008B65F0">
        <w:rPr>
          <w:rFonts w:ascii="Times New Roman" w:hAnsi="Times New Roman" w:cs="Times New Roman"/>
        </w:rPr>
        <w:t xml:space="preserve">, što predstavlja </w:t>
      </w:r>
      <w:r w:rsidR="00F053E3">
        <w:rPr>
          <w:rFonts w:ascii="Times New Roman" w:hAnsi="Times New Roman" w:cs="Times New Roman"/>
        </w:rPr>
        <w:t>96,48%.</w:t>
      </w:r>
    </w:p>
    <w:p w14:paraId="4DABFE5B" w14:textId="77777777" w:rsidR="008B65F0"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t>Izvor 5. Pomoći</w:t>
      </w:r>
    </w:p>
    <w:p w14:paraId="5A49C5D2" w14:textId="77777777" w:rsidR="008B65F0"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t>Izvor 5.K. Ministarstvo znanosti i obrazovanja - PK</w:t>
      </w:r>
    </w:p>
    <w:p w14:paraId="5B36DE2E" w14:textId="2CD43E4A"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Planirani su rashodi u iznosu od 1.</w:t>
      </w:r>
      <w:r w:rsidR="00F053E3">
        <w:rPr>
          <w:rFonts w:ascii="Times New Roman" w:hAnsi="Times New Roman" w:cs="Times New Roman"/>
        </w:rPr>
        <w:t>070,00 eura</w:t>
      </w:r>
      <w:r w:rsidRPr="008B65F0">
        <w:rPr>
          <w:rFonts w:ascii="Times New Roman" w:hAnsi="Times New Roman" w:cs="Times New Roman"/>
        </w:rPr>
        <w:t xml:space="preserve">, a izvršeni su u iznosu od </w:t>
      </w:r>
      <w:r w:rsidR="00F053E3">
        <w:rPr>
          <w:rFonts w:ascii="Times New Roman" w:hAnsi="Times New Roman" w:cs="Times New Roman"/>
        </w:rPr>
        <w:t>579,52 eura,</w:t>
      </w:r>
      <w:r w:rsidRPr="008B65F0">
        <w:rPr>
          <w:rFonts w:ascii="Times New Roman" w:hAnsi="Times New Roman" w:cs="Times New Roman"/>
        </w:rPr>
        <w:t xml:space="preserve"> što predstavlja </w:t>
      </w:r>
      <w:r w:rsidR="00F053E3">
        <w:rPr>
          <w:rFonts w:ascii="Times New Roman" w:hAnsi="Times New Roman" w:cs="Times New Roman"/>
        </w:rPr>
        <w:t>54,16</w:t>
      </w:r>
      <w:r w:rsidRPr="008B65F0">
        <w:rPr>
          <w:rFonts w:ascii="Times New Roman" w:hAnsi="Times New Roman" w:cs="Times New Roman"/>
        </w:rPr>
        <w:t>%.</w:t>
      </w:r>
    </w:p>
    <w:p w14:paraId="62F68332" w14:textId="77777777" w:rsidR="008B65F0"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lastRenderedPageBreak/>
        <w:t>Izvor 5.V. Ministarstvo znanosti i obrazovanja</w:t>
      </w:r>
    </w:p>
    <w:p w14:paraId="6637C5DC" w14:textId="548C9FA0"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Planirani su rashodi u ukupnom iznosu od </w:t>
      </w:r>
      <w:r w:rsidR="00F053E3">
        <w:rPr>
          <w:rFonts w:ascii="Times New Roman" w:hAnsi="Times New Roman" w:cs="Times New Roman"/>
        </w:rPr>
        <w:t>48.000,00 eura,</w:t>
      </w:r>
      <w:r w:rsidRPr="008B65F0">
        <w:rPr>
          <w:rFonts w:ascii="Times New Roman" w:hAnsi="Times New Roman" w:cs="Times New Roman"/>
        </w:rPr>
        <w:t xml:space="preserve"> a izvršeni u iznosu od </w:t>
      </w:r>
      <w:r w:rsidR="00F053E3">
        <w:rPr>
          <w:rFonts w:ascii="Times New Roman" w:hAnsi="Times New Roman" w:cs="Times New Roman"/>
        </w:rPr>
        <w:t>47.736,00 eura</w:t>
      </w:r>
      <w:r w:rsidRPr="008B65F0">
        <w:rPr>
          <w:rFonts w:ascii="Times New Roman" w:hAnsi="Times New Roman" w:cs="Times New Roman"/>
        </w:rPr>
        <w:t>, što predstavlja</w:t>
      </w:r>
      <w:r w:rsidR="00F053E3">
        <w:rPr>
          <w:rFonts w:ascii="Times New Roman" w:hAnsi="Times New Roman" w:cs="Times New Roman"/>
        </w:rPr>
        <w:t xml:space="preserve"> 99,45</w:t>
      </w:r>
      <w:r w:rsidRPr="008B65F0">
        <w:rPr>
          <w:rFonts w:ascii="Times New Roman" w:hAnsi="Times New Roman" w:cs="Times New Roman"/>
        </w:rPr>
        <w:t>%.</w:t>
      </w:r>
    </w:p>
    <w:p w14:paraId="04AE7D4A" w14:textId="77777777" w:rsidR="008B65F0"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t>Izvor 6. Donacije</w:t>
      </w:r>
    </w:p>
    <w:p w14:paraId="350936BB" w14:textId="77777777" w:rsidR="008B65F0"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t>Izvor 6.2. Donacije od sponzora</w:t>
      </w:r>
    </w:p>
    <w:p w14:paraId="3D857C46" w14:textId="1E28C802"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Planirani su rashodi </w:t>
      </w:r>
      <w:r w:rsidR="00F053E3">
        <w:rPr>
          <w:rFonts w:ascii="Times New Roman" w:hAnsi="Times New Roman" w:cs="Times New Roman"/>
        </w:rPr>
        <w:t>nisu izvršeni u izvještajnoj godini.</w:t>
      </w:r>
    </w:p>
    <w:p w14:paraId="44FD6930" w14:textId="77777777" w:rsidR="008B65F0" w:rsidRPr="008B65F0" w:rsidRDefault="008B65F0" w:rsidP="005F7729">
      <w:pPr>
        <w:tabs>
          <w:tab w:val="left" w:pos="6036"/>
        </w:tabs>
        <w:jc w:val="both"/>
        <w:rPr>
          <w:rFonts w:ascii="Times New Roman" w:hAnsi="Times New Roman" w:cs="Times New Roman"/>
        </w:rPr>
      </w:pPr>
    </w:p>
    <w:p w14:paraId="48B93585" w14:textId="77777777" w:rsidR="008B65F0" w:rsidRPr="008B65F0" w:rsidRDefault="008B65F0" w:rsidP="005F7729">
      <w:pPr>
        <w:tabs>
          <w:tab w:val="left" w:pos="6036"/>
        </w:tabs>
        <w:jc w:val="both"/>
        <w:rPr>
          <w:rFonts w:ascii="Times New Roman" w:hAnsi="Times New Roman" w:cs="Times New Roman"/>
        </w:rPr>
      </w:pPr>
      <w:r w:rsidRPr="00F053E3">
        <w:rPr>
          <w:rFonts w:ascii="Times New Roman" w:hAnsi="Times New Roman" w:cs="Times New Roman"/>
          <w:b/>
          <w:bCs/>
        </w:rPr>
        <w:t>GLAVNI PROGRAM P01</w:t>
      </w:r>
      <w:r w:rsidRPr="008B65F0">
        <w:rPr>
          <w:rFonts w:ascii="Times New Roman" w:hAnsi="Times New Roman" w:cs="Times New Roman"/>
        </w:rPr>
        <w:t xml:space="preserve"> PREDŠKOLSKI ODGOJ I OSNOVNO OBRAZOVANJE</w:t>
      </w:r>
    </w:p>
    <w:p w14:paraId="04471C6A" w14:textId="77777777" w:rsidR="008B65F0" w:rsidRPr="008B65F0" w:rsidRDefault="008B65F0" w:rsidP="005F7729">
      <w:pPr>
        <w:tabs>
          <w:tab w:val="left" w:pos="6036"/>
        </w:tabs>
        <w:jc w:val="both"/>
        <w:rPr>
          <w:rFonts w:ascii="Times New Roman" w:hAnsi="Times New Roman" w:cs="Times New Roman"/>
        </w:rPr>
      </w:pPr>
      <w:r w:rsidRPr="00F053E3">
        <w:rPr>
          <w:rFonts w:ascii="Times New Roman" w:hAnsi="Times New Roman" w:cs="Times New Roman"/>
          <w:b/>
          <w:bCs/>
        </w:rPr>
        <w:t>PROGRAM 1000</w:t>
      </w:r>
      <w:r w:rsidRPr="008B65F0">
        <w:rPr>
          <w:rFonts w:ascii="Times New Roman" w:hAnsi="Times New Roman" w:cs="Times New Roman"/>
        </w:rPr>
        <w:t xml:space="preserve"> PREDŠKOLSKI ODGOJ I OSNOVNO OBRAZOVANJE</w:t>
      </w:r>
    </w:p>
    <w:p w14:paraId="3719D3F8" w14:textId="77777777" w:rsidR="008B65F0"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t>Aktivnost A100001 Redovna djelatnost Dječjeg vrtića</w:t>
      </w:r>
    </w:p>
    <w:p w14:paraId="74E5932D" w14:textId="77777777" w:rsidR="008B65F0"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t>Izvor 1. Opći prihodi i primici</w:t>
      </w:r>
    </w:p>
    <w:p w14:paraId="264C2D7F" w14:textId="77777777" w:rsidR="008B65F0" w:rsidRPr="00F053E3" w:rsidRDefault="008B65F0" w:rsidP="005F7729">
      <w:pPr>
        <w:tabs>
          <w:tab w:val="left" w:pos="6036"/>
        </w:tabs>
        <w:jc w:val="both"/>
        <w:rPr>
          <w:rFonts w:ascii="Times New Roman" w:hAnsi="Times New Roman" w:cs="Times New Roman"/>
          <w:b/>
          <w:bCs/>
        </w:rPr>
      </w:pPr>
      <w:r w:rsidRPr="00F053E3">
        <w:rPr>
          <w:rFonts w:ascii="Times New Roman" w:hAnsi="Times New Roman" w:cs="Times New Roman"/>
          <w:b/>
          <w:bCs/>
        </w:rPr>
        <w:t>Izvor 1.1. Opći prihodi i primici</w:t>
      </w:r>
    </w:p>
    <w:p w14:paraId="3B0837E4" w14:textId="283F4319"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Planirani su rashodi u iznosu od </w:t>
      </w:r>
      <w:r w:rsidR="00F053E3">
        <w:rPr>
          <w:rFonts w:ascii="Times New Roman" w:hAnsi="Times New Roman" w:cs="Times New Roman"/>
        </w:rPr>
        <w:t>400.010,00 eura</w:t>
      </w:r>
      <w:r w:rsidRPr="008B65F0">
        <w:rPr>
          <w:rFonts w:ascii="Times New Roman" w:hAnsi="Times New Roman" w:cs="Times New Roman"/>
        </w:rPr>
        <w:t xml:space="preserve">, a izvršeni u iznosu od </w:t>
      </w:r>
      <w:r w:rsidR="00F053E3">
        <w:rPr>
          <w:rFonts w:ascii="Times New Roman" w:hAnsi="Times New Roman" w:cs="Times New Roman"/>
        </w:rPr>
        <w:t>397.676,32 eura</w:t>
      </w:r>
      <w:r w:rsidRPr="008B65F0">
        <w:rPr>
          <w:rFonts w:ascii="Times New Roman" w:hAnsi="Times New Roman" w:cs="Times New Roman"/>
        </w:rPr>
        <w:t>, što predstavlja</w:t>
      </w:r>
      <w:r w:rsidR="00F053E3">
        <w:rPr>
          <w:rFonts w:ascii="Times New Roman" w:hAnsi="Times New Roman" w:cs="Times New Roman"/>
        </w:rPr>
        <w:t xml:space="preserve"> 99,42</w:t>
      </w:r>
      <w:r w:rsidRPr="008B65F0">
        <w:rPr>
          <w:rFonts w:ascii="Times New Roman" w:hAnsi="Times New Roman" w:cs="Times New Roman"/>
        </w:rPr>
        <w:t>%.</w:t>
      </w:r>
      <w:r w:rsidR="00471F1B">
        <w:rPr>
          <w:rFonts w:ascii="Times New Roman" w:hAnsi="Times New Roman" w:cs="Times New Roman"/>
        </w:rPr>
        <w:t xml:space="preserve"> </w:t>
      </w:r>
      <w:r w:rsidRPr="008B65F0">
        <w:rPr>
          <w:rFonts w:ascii="Times New Roman" w:hAnsi="Times New Roman" w:cs="Times New Roman"/>
        </w:rPr>
        <w:t xml:space="preserve">Sredstva su utrošena za rashode za zaposlene u ukupnom iznosu od </w:t>
      </w:r>
      <w:r w:rsidR="00F053E3">
        <w:rPr>
          <w:rFonts w:ascii="Times New Roman" w:hAnsi="Times New Roman" w:cs="Times New Roman"/>
        </w:rPr>
        <w:t>371.423,79 eura</w:t>
      </w:r>
      <w:r w:rsidRPr="008B65F0">
        <w:rPr>
          <w:rFonts w:ascii="Times New Roman" w:hAnsi="Times New Roman" w:cs="Times New Roman"/>
        </w:rPr>
        <w:t xml:space="preserve">, što predstavlja </w:t>
      </w:r>
      <w:r w:rsidR="00F053E3">
        <w:rPr>
          <w:rFonts w:ascii="Times New Roman" w:hAnsi="Times New Roman" w:cs="Times New Roman"/>
        </w:rPr>
        <w:t>99,61</w:t>
      </w:r>
      <w:r w:rsidRPr="008B65F0">
        <w:rPr>
          <w:rFonts w:ascii="Times New Roman" w:hAnsi="Times New Roman" w:cs="Times New Roman"/>
        </w:rPr>
        <w:t>%</w:t>
      </w:r>
      <w:r w:rsidR="00471F1B">
        <w:rPr>
          <w:rFonts w:ascii="Times New Roman" w:hAnsi="Times New Roman" w:cs="Times New Roman"/>
        </w:rPr>
        <w:t xml:space="preserve"> </w:t>
      </w:r>
      <w:r w:rsidRPr="008B65F0">
        <w:rPr>
          <w:rFonts w:ascii="Times New Roman" w:hAnsi="Times New Roman" w:cs="Times New Roman"/>
        </w:rPr>
        <w:t xml:space="preserve">plana, od čega su plaće za redovan rad </w:t>
      </w:r>
      <w:r w:rsidR="00471F1B">
        <w:rPr>
          <w:rFonts w:ascii="Times New Roman" w:hAnsi="Times New Roman" w:cs="Times New Roman"/>
        </w:rPr>
        <w:t>292.121,07 eura</w:t>
      </w:r>
      <w:r w:rsidRPr="008B65F0">
        <w:rPr>
          <w:rFonts w:ascii="Times New Roman" w:hAnsi="Times New Roman" w:cs="Times New Roman"/>
        </w:rPr>
        <w:t xml:space="preserve">, ostali rashodi za zaposlene </w:t>
      </w:r>
      <w:r w:rsidR="00471F1B">
        <w:rPr>
          <w:rFonts w:ascii="Times New Roman" w:hAnsi="Times New Roman" w:cs="Times New Roman"/>
        </w:rPr>
        <w:t>32.326,00 eura</w:t>
      </w:r>
      <w:r w:rsidRPr="008B65F0">
        <w:rPr>
          <w:rFonts w:ascii="Times New Roman" w:hAnsi="Times New Roman" w:cs="Times New Roman"/>
        </w:rPr>
        <w:t xml:space="preserve"> te doprinosi</w:t>
      </w:r>
      <w:r w:rsidR="00471F1B">
        <w:rPr>
          <w:rFonts w:ascii="Times New Roman" w:hAnsi="Times New Roman" w:cs="Times New Roman"/>
        </w:rPr>
        <w:t xml:space="preserve"> </w:t>
      </w:r>
      <w:r w:rsidRPr="008B65F0">
        <w:rPr>
          <w:rFonts w:ascii="Times New Roman" w:hAnsi="Times New Roman" w:cs="Times New Roman"/>
        </w:rPr>
        <w:t xml:space="preserve">za obvezno zdravstveno osiguranje </w:t>
      </w:r>
      <w:r w:rsidR="00471F1B">
        <w:rPr>
          <w:rFonts w:ascii="Times New Roman" w:hAnsi="Times New Roman" w:cs="Times New Roman"/>
        </w:rPr>
        <w:t>46.976,72 eura</w:t>
      </w:r>
      <w:r w:rsidRPr="008B65F0">
        <w:rPr>
          <w:rFonts w:ascii="Times New Roman" w:hAnsi="Times New Roman" w:cs="Times New Roman"/>
        </w:rPr>
        <w:t>. Utrošena su sredstva i za materijalne rashode u ukupnom</w:t>
      </w:r>
      <w:r w:rsidR="00471F1B">
        <w:rPr>
          <w:rFonts w:ascii="Times New Roman" w:hAnsi="Times New Roman" w:cs="Times New Roman"/>
        </w:rPr>
        <w:t xml:space="preserve"> </w:t>
      </w:r>
      <w:r w:rsidRPr="008B65F0">
        <w:rPr>
          <w:rFonts w:ascii="Times New Roman" w:hAnsi="Times New Roman" w:cs="Times New Roman"/>
        </w:rPr>
        <w:t xml:space="preserve">iznosu od </w:t>
      </w:r>
      <w:r w:rsidR="00471F1B">
        <w:rPr>
          <w:rFonts w:ascii="Times New Roman" w:hAnsi="Times New Roman" w:cs="Times New Roman"/>
        </w:rPr>
        <w:t>26.252,53 eura</w:t>
      </w:r>
      <w:r w:rsidRPr="008B65F0">
        <w:rPr>
          <w:rFonts w:ascii="Times New Roman" w:hAnsi="Times New Roman" w:cs="Times New Roman"/>
        </w:rPr>
        <w:t xml:space="preserve">, što predstavlja </w:t>
      </w:r>
      <w:r w:rsidR="00471F1B">
        <w:rPr>
          <w:rFonts w:ascii="Times New Roman" w:hAnsi="Times New Roman" w:cs="Times New Roman"/>
        </w:rPr>
        <w:t>96,73</w:t>
      </w:r>
      <w:r w:rsidRPr="008B65F0">
        <w:rPr>
          <w:rFonts w:ascii="Times New Roman" w:hAnsi="Times New Roman" w:cs="Times New Roman"/>
        </w:rPr>
        <w:t xml:space="preserve">% plana, od čega su naknade za prijevoz </w:t>
      </w:r>
      <w:r w:rsidR="00471F1B">
        <w:rPr>
          <w:rFonts w:ascii="Times New Roman" w:hAnsi="Times New Roman" w:cs="Times New Roman"/>
        </w:rPr>
        <w:t>13.205,84 eura</w:t>
      </w:r>
      <w:r w:rsidRPr="008B65F0">
        <w:rPr>
          <w:rFonts w:ascii="Times New Roman" w:hAnsi="Times New Roman" w:cs="Times New Roman"/>
        </w:rPr>
        <w:t>, stručno</w:t>
      </w:r>
      <w:r w:rsidR="00471F1B">
        <w:rPr>
          <w:rFonts w:ascii="Times New Roman" w:hAnsi="Times New Roman" w:cs="Times New Roman"/>
        </w:rPr>
        <w:t xml:space="preserve"> </w:t>
      </w:r>
      <w:r w:rsidRPr="008B65F0">
        <w:rPr>
          <w:rFonts w:ascii="Times New Roman" w:hAnsi="Times New Roman" w:cs="Times New Roman"/>
        </w:rPr>
        <w:t xml:space="preserve">usavršavanje zaposlenika 230,87 </w:t>
      </w:r>
      <w:r w:rsidR="00471F1B">
        <w:rPr>
          <w:rFonts w:ascii="Times New Roman" w:hAnsi="Times New Roman" w:cs="Times New Roman"/>
        </w:rPr>
        <w:t>eura</w:t>
      </w:r>
      <w:r w:rsidRPr="008B65F0">
        <w:rPr>
          <w:rFonts w:ascii="Times New Roman" w:hAnsi="Times New Roman" w:cs="Times New Roman"/>
        </w:rPr>
        <w:t xml:space="preserve"> te intelektualne i osobne usluge </w:t>
      </w:r>
      <w:r w:rsidR="00471F1B">
        <w:rPr>
          <w:rFonts w:ascii="Times New Roman" w:hAnsi="Times New Roman" w:cs="Times New Roman"/>
        </w:rPr>
        <w:t>12.815,82 eura</w:t>
      </w:r>
      <w:r w:rsidRPr="008B65F0">
        <w:rPr>
          <w:rFonts w:ascii="Times New Roman" w:hAnsi="Times New Roman" w:cs="Times New Roman"/>
        </w:rPr>
        <w:t>.</w:t>
      </w:r>
    </w:p>
    <w:p w14:paraId="4554F1A8" w14:textId="77777777" w:rsidR="008B65F0" w:rsidRPr="00471F1B" w:rsidRDefault="008B65F0" w:rsidP="005F7729">
      <w:pPr>
        <w:tabs>
          <w:tab w:val="left" w:pos="6036"/>
        </w:tabs>
        <w:jc w:val="both"/>
        <w:rPr>
          <w:rFonts w:ascii="Times New Roman" w:hAnsi="Times New Roman" w:cs="Times New Roman"/>
          <w:b/>
          <w:bCs/>
        </w:rPr>
      </w:pPr>
      <w:r w:rsidRPr="00471F1B">
        <w:rPr>
          <w:rFonts w:ascii="Times New Roman" w:hAnsi="Times New Roman" w:cs="Times New Roman"/>
          <w:b/>
          <w:bCs/>
        </w:rPr>
        <w:t>Izvor 3. Vlastiti prihod</w:t>
      </w:r>
    </w:p>
    <w:p w14:paraId="66C78CFA" w14:textId="77777777" w:rsidR="008B65F0" w:rsidRPr="00471F1B" w:rsidRDefault="008B65F0" w:rsidP="005F7729">
      <w:pPr>
        <w:tabs>
          <w:tab w:val="left" w:pos="6036"/>
        </w:tabs>
        <w:jc w:val="both"/>
        <w:rPr>
          <w:rFonts w:ascii="Times New Roman" w:hAnsi="Times New Roman" w:cs="Times New Roman"/>
          <w:b/>
          <w:bCs/>
        </w:rPr>
      </w:pPr>
      <w:r w:rsidRPr="00471F1B">
        <w:rPr>
          <w:rFonts w:ascii="Times New Roman" w:hAnsi="Times New Roman" w:cs="Times New Roman"/>
          <w:b/>
          <w:bCs/>
        </w:rPr>
        <w:t>Izvor 3.2. Vlastiti prihodi - PK</w:t>
      </w:r>
    </w:p>
    <w:p w14:paraId="10782F96" w14:textId="2611A713"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Planirani su materijalni rashodi u iznosu od 20,00 </w:t>
      </w:r>
      <w:r w:rsidR="00471F1B">
        <w:rPr>
          <w:rFonts w:ascii="Times New Roman" w:hAnsi="Times New Roman" w:cs="Times New Roman"/>
        </w:rPr>
        <w:t>eura</w:t>
      </w:r>
      <w:r w:rsidRPr="008B65F0">
        <w:rPr>
          <w:rFonts w:ascii="Times New Roman" w:hAnsi="Times New Roman" w:cs="Times New Roman"/>
        </w:rPr>
        <w:t>, a nisu izvršeni u promatranom razdoblju.</w:t>
      </w:r>
    </w:p>
    <w:p w14:paraId="6DC63C05" w14:textId="77777777" w:rsidR="008B65F0" w:rsidRPr="00471F1B" w:rsidRDefault="008B65F0" w:rsidP="005F7729">
      <w:pPr>
        <w:tabs>
          <w:tab w:val="left" w:pos="6036"/>
        </w:tabs>
        <w:jc w:val="both"/>
        <w:rPr>
          <w:rFonts w:ascii="Times New Roman" w:hAnsi="Times New Roman" w:cs="Times New Roman"/>
          <w:b/>
          <w:bCs/>
        </w:rPr>
      </w:pPr>
      <w:r w:rsidRPr="00471F1B">
        <w:rPr>
          <w:rFonts w:ascii="Times New Roman" w:hAnsi="Times New Roman" w:cs="Times New Roman"/>
          <w:b/>
          <w:bCs/>
        </w:rPr>
        <w:t>Izvor 4. Ostali prihodi za posebne namjene</w:t>
      </w:r>
    </w:p>
    <w:p w14:paraId="68F9844D" w14:textId="77777777" w:rsidR="008B65F0" w:rsidRPr="008B65F0" w:rsidRDefault="008B65F0" w:rsidP="005F7729">
      <w:pPr>
        <w:tabs>
          <w:tab w:val="left" w:pos="6036"/>
        </w:tabs>
        <w:jc w:val="both"/>
        <w:rPr>
          <w:rFonts w:ascii="Times New Roman" w:hAnsi="Times New Roman" w:cs="Times New Roman"/>
        </w:rPr>
      </w:pPr>
      <w:r w:rsidRPr="00471F1B">
        <w:rPr>
          <w:rFonts w:ascii="Times New Roman" w:hAnsi="Times New Roman" w:cs="Times New Roman"/>
          <w:b/>
          <w:bCs/>
        </w:rPr>
        <w:t>Izvor 4.V. Sufinanciranje cijene vrtića</w:t>
      </w:r>
    </w:p>
    <w:p w14:paraId="43AE8B91" w14:textId="31EA9976" w:rsid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Planirani su rashodi u ukupnom iznosu od </w:t>
      </w:r>
      <w:r w:rsidR="00471F1B">
        <w:rPr>
          <w:rFonts w:ascii="Times New Roman" w:hAnsi="Times New Roman" w:cs="Times New Roman"/>
        </w:rPr>
        <w:t>50.230,00 eura</w:t>
      </w:r>
      <w:r w:rsidRPr="008B65F0">
        <w:rPr>
          <w:rFonts w:ascii="Times New Roman" w:hAnsi="Times New Roman" w:cs="Times New Roman"/>
        </w:rPr>
        <w:t xml:space="preserve">, a izvršeni u iznosu od </w:t>
      </w:r>
      <w:r w:rsidR="00471F1B">
        <w:rPr>
          <w:rFonts w:ascii="Times New Roman" w:hAnsi="Times New Roman" w:cs="Times New Roman"/>
        </w:rPr>
        <w:t>48.844,60 eura</w:t>
      </w:r>
      <w:r w:rsidRPr="008B65F0">
        <w:rPr>
          <w:rFonts w:ascii="Times New Roman" w:hAnsi="Times New Roman" w:cs="Times New Roman"/>
        </w:rPr>
        <w:t>, što predstavlja</w:t>
      </w:r>
      <w:r w:rsidR="00471F1B">
        <w:rPr>
          <w:rFonts w:ascii="Times New Roman" w:hAnsi="Times New Roman" w:cs="Times New Roman"/>
        </w:rPr>
        <w:t xml:space="preserve"> 97,24</w:t>
      </w:r>
      <w:r w:rsidRPr="008B65F0">
        <w:rPr>
          <w:rFonts w:ascii="Times New Roman" w:hAnsi="Times New Roman" w:cs="Times New Roman"/>
        </w:rPr>
        <w:t>%.</w:t>
      </w:r>
      <w:r w:rsidR="005C5E8B">
        <w:rPr>
          <w:rFonts w:ascii="Times New Roman" w:hAnsi="Times New Roman" w:cs="Times New Roman"/>
        </w:rPr>
        <w:t xml:space="preserve"> </w:t>
      </w:r>
      <w:r w:rsidRPr="008B65F0">
        <w:rPr>
          <w:rFonts w:ascii="Times New Roman" w:hAnsi="Times New Roman" w:cs="Times New Roman"/>
        </w:rPr>
        <w:t xml:space="preserve">Sredstva su utrošena za </w:t>
      </w:r>
      <w:r w:rsidR="005C5E8B">
        <w:rPr>
          <w:rFonts w:ascii="Times New Roman" w:hAnsi="Times New Roman" w:cs="Times New Roman"/>
        </w:rPr>
        <w:t xml:space="preserve">rashode za zaposlene u iznosu od 3.651,08 eura, što predstavlja 99,46% plana te </w:t>
      </w:r>
      <w:r w:rsidRPr="008B65F0">
        <w:rPr>
          <w:rFonts w:ascii="Times New Roman" w:hAnsi="Times New Roman" w:cs="Times New Roman"/>
        </w:rPr>
        <w:t xml:space="preserve">materijalne rashode u ukupnom iznosu od </w:t>
      </w:r>
      <w:r w:rsidR="005C5E8B">
        <w:rPr>
          <w:rFonts w:ascii="Times New Roman" w:hAnsi="Times New Roman" w:cs="Times New Roman"/>
        </w:rPr>
        <w:t>44.403,35 eura</w:t>
      </w:r>
      <w:r w:rsidRPr="008B65F0">
        <w:rPr>
          <w:rFonts w:ascii="Times New Roman" w:hAnsi="Times New Roman" w:cs="Times New Roman"/>
        </w:rPr>
        <w:t xml:space="preserve">, što predstavlja </w:t>
      </w:r>
      <w:r w:rsidR="005C5E8B">
        <w:rPr>
          <w:rFonts w:ascii="Times New Roman" w:hAnsi="Times New Roman" w:cs="Times New Roman"/>
        </w:rPr>
        <w:t>97,01</w:t>
      </w:r>
      <w:r w:rsidRPr="008B65F0">
        <w:rPr>
          <w:rFonts w:ascii="Times New Roman" w:hAnsi="Times New Roman" w:cs="Times New Roman"/>
        </w:rPr>
        <w:t>%</w:t>
      </w:r>
      <w:r w:rsidR="005C5E8B">
        <w:rPr>
          <w:rFonts w:ascii="Times New Roman" w:hAnsi="Times New Roman" w:cs="Times New Roman"/>
        </w:rPr>
        <w:t xml:space="preserve"> </w:t>
      </w:r>
      <w:r w:rsidRPr="008B65F0">
        <w:rPr>
          <w:rFonts w:ascii="Times New Roman" w:hAnsi="Times New Roman" w:cs="Times New Roman"/>
        </w:rPr>
        <w:t xml:space="preserve">plana, od čega su rashodi za službena putovanja </w:t>
      </w:r>
      <w:r w:rsidR="005C5E8B">
        <w:rPr>
          <w:rFonts w:ascii="Times New Roman" w:hAnsi="Times New Roman" w:cs="Times New Roman"/>
        </w:rPr>
        <w:t>654,50 eura</w:t>
      </w:r>
      <w:r w:rsidRPr="008B65F0">
        <w:rPr>
          <w:rFonts w:ascii="Times New Roman" w:hAnsi="Times New Roman" w:cs="Times New Roman"/>
        </w:rPr>
        <w:t xml:space="preserve">, stručno usavršavanje zaposlenika </w:t>
      </w:r>
      <w:r w:rsidR="005C5E8B">
        <w:rPr>
          <w:rFonts w:ascii="Times New Roman" w:hAnsi="Times New Roman" w:cs="Times New Roman"/>
        </w:rPr>
        <w:t>351,50 eura</w:t>
      </w:r>
      <w:r w:rsidRPr="008B65F0">
        <w:rPr>
          <w:rFonts w:ascii="Times New Roman" w:hAnsi="Times New Roman" w:cs="Times New Roman"/>
        </w:rPr>
        <w:t>,</w:t>
      </w:r>
      <w:r w:rsidR="005C5E8B">
        <w:rPr>
          <w:rFonts w:ascii="Times New Roman" w:hAnsi="Times New Roman" w:cs="Times New Roman"/>
        </w:rPr>
        <w:t xml:space="preserve"> </w:t>
      </w:r>
      <w:r w:rsidRPr="008B65F0">
        <w:rPr>
          <w:rFonts w:ascii="Times New Roman" w:hAnsi="Times New Roman" w:cs="Times New Roman"/>
        </w:rPr>
        <w:t xml:space="preserve">uredski materijal i ostali materijalni rashodi </w:t>
      </w:r>
      <w:r w:rsidR="005C5E8B">
        <w:rPr>
          <w:rFonts w:ascii="Times New Roman" w:hAnsi="Times New Roman" w:cs="Times New Roman"/>
        </w:rPr>
        <w:t>5.764,47 eura</w:t>
      </w:r>
      <w:r w:rsidRPr="008B65F0">
        <w:rPr>
          <w:rFonts w:ascii="Times New Roman" w:hAnsi="Times New Roman" w:cs="Times New Roman"/>
        </w:rPr>
        <w:t xml:space="preserve">, materijal i sirovine </w:t>
      </w:r>
      <w:r w:rsidR="005C5E8B">
        <w:rPr>
          <w:rFonts w:ascii="Times New Roman" w:hAnsi="Times New Roman" w:cs="Times New Roman"/>
        </w:rPr>
        <w:t>18.312,63 eura</w:t>
      </w:r>
      <w:r w:rsidRPr="008B65F0">
        <w:rPr>
          <w:rFonts w:ascii="Times New Roman" w:hAnsi="Times New Roman" w:cs="Times New Roman"/>
        </w:rPr>
        <w:t xml:space="preserve">, energija </w:t>
      </w:r>
      <w:r w:rsidR="005C5E8B">
        <w:rPr>
          <w:rFonts w:ascii="Times New Roman" w:hAnsi="Times New Roman" w:cs="Times New Roman"/>
        </w:rPr>
        <w:t>7.652,04 eura</w:t>
      </w:r>
      <w:r w:rsidRPr="008B65F0">
        <w:rPr>
          <w:rFonts w:ascii="Times New Roman" w:hAnsi="Times New Roman" w:cs="Times New Roman"/>
        </w:rPr>
        <w:t xml:space="preserve">, materijal i dijelovi za tekuće i investicijsko održavanje </w:t>
      </w:r>
      <w:r w:rsidR="005C5E8B">
        <w:rPr>
          <w:rFonts w:ascii="Times New Roman" w:hAnsi="Times New Roman" w:cs="Times New Roman"/>
        </w:rPr>
        <w:t>473,59 eura</w:t>
      </w:r>
      <w:r w:rsidRPr="008B65F0">
        <w:rPr>
          <w:rFonts w:ascii="Times New Roman" w:hAnsi="Times New Roman" w:cs="Times New Roman"/>
        </w:rPr>
        <w:t xml:space="preserve">, sitni inventar </w:t>
      </w:r>
      <w:r w:rsidR="005C5E8B">
        <w:rPr>
          <w:rFonts w:ascii="Times New Roman" w:hAnsi="Times New Roman" w:cs="Times New Roman"/>
        </w:rPr>
        <w:t>110,92 eura</w:t>
      </w:r>
      <w:r w:rsidRPr="008B65F0">
        <w:rPr>
          <w:rFonts w:ascii="Times New Roman" w:hAnsi="Times New Roman" w:cs="Times New Roman"/>
        </w:rPr>
        <w:t>, službena, radna</w:t>
      </w:r>
      <w:r w:rsidR="005C5E8B">
        <w:rPr>
          <w:rFonts w:ascii="Times New Roman" w:hAnsi="Times New Roman" w:cs="Times New Roman"/>
        </w:rPr>
        <w:t xml:space="preserve"> </w:t>
      </w:r>
      <w:r w:rsidRPr="008B65F0">
        <w:rPr>
          <w:rFonts w:ascii="Times New Roman" w:hAnsi="Times New Roman" w:cs="Times New Roman"/>
        </w:rPr>
        <w:t xml:space="preserve">i zaštitna odjeća i obuća </w:t>
      </w:r>
      <w:r w:rsidR="005C5E8B">
        <w:rPr>
          <w:rFonts w:ascii="Times New Roman" w:hAnsi="Times New Roman" w:cs="Times New Roman"/>
        </w:rPr>
        <w:t>755,12 eura</w:t>
      </w:r>
      <w:r w:rsidRPr="008B65F0">
        <w:rPr>
          <w:rFonts w:ascii="Times New Roman" w:hAnsi="Times New Roman" w:cs="Times New Roman"/>
        </w:rPr>
        <w:t xml:space="preserve">, usluge telefona, pošte </w:t>
      </w:r>
      <w:r w:rsidR="005C5E8B">
        <w:rPr>
          <w:rFonts w:ascii="Times New Roman" w:hAnsi="Times New Roman" w:cs="Times New Roman"/>
        </w:rPr>
        <w:t>1.325,97 eura</w:t>
      </w:r>
      <w:r w:rsidRPr="008B65F0">
        <w:rPr>
          <w:rFonts w:ascii="Times New Roman" w:hAnsi="Times New Roman" w:cs="Times New Roman"/>
        </w:rPr>
        <w:t>, usluge tekućeg i investicijskog</w:t>
      </w:r>
      <w:r w:rsidR="005C5E8B">
        <w:rPr>
          <w:rFonts w:ascii="Times New Roman" w:hAnsi="Times New Roman" w:cs="Times New Roman"/>
        </w:rPr>
        <w:t xml:space="preserve"> </w:t>
      </w:r>
      <w:r w:rsidRPr="008B65F0">
        <w:rPr>
          <w:rFonts w:ascii="Times New Roman" w:hAnsi="Times New Roman" w:cs="Times New Roman"/>
        </w:rPr>
        <w:t xml:space="preserve">održavanja </w:t>
      </w:r>
      <w:r w:rsidR="005C5E8B">
        <w:rPr>
          <w:rFonts w:ascii="Times New Roman" w:hAnsi="Times New Roman" w:cs="Times New Roman"/>
        </w:rPr>
        <w:t>2.821,40 eura</w:t>
      </w:r>
      <w:r w:rsidRPr="008B65F0">
        <w:rPr>
          <w:rFonts w:ascii="Times New Roman" w:hAnsi="Times New Roman" w:cs="Times New Roman"/>
        </w:rPr>
        <w:t xml:space="preserve">, usluge promidžbe i informiranja </w:t>
      </w:r>
      <w:r w:rsidR="005C5E8B">
        <w:rPr>
          <w:rFonts w:ascii="Times New Roman" w:hAnsi="Times New Roman" w:cs="Times New Roman"/>
        </w:rPr>
        <w:t>1.188,10 eura</w:t>
      </w:r>
      <w:r w:rsidRPr="008B65F0">
        <w:rPr>
          <w:rFonts w:ascii="Times New Roman" w:hAnsi="Times New Roman" w:cs="Times New Roman"/>
        </w:rPr>
        <w:t xml:space="preserve">, komunalne usluge </w:t>
      </w:r>
      <w:r w:rsidR="005C5E8B">
        <w:rPr>
          <w:rFonts w:ascii="Times New Roman" w:hAnsi="Times New Roman" w:cs="Times New Roman"/>
        </w:rPr>
        <w:t>2.584,89 eura</w:t>
      </w:r>
      <w:r w:rsidRPr="008B65F0">
        <w:rPr>
          <w:rFonts w:ascii="Times New Roman" w:hAnsi="Times New Roman" w:cs="Times New Roman"/>
        </w:rPr>
        <w:t>,</w:t>
      </w:r>
      <w:r w:rsidR="005C5E8B">
        <w:rPr>
          <w:rFonts w:ascii="Times New Roman" w:hAnsi="Times New Roman" w:cs="Times New Roman"/>
        </w:rPr>
        <w:t xml:space="preserve"> </w:t>
      </w:r>
      <w:r w:rsidRPr="008B65F0">
        <w:rPr>
          <w:rFonts w:ascii="Times New Roman" w:hAnsi="Times New Roman" w:cs="Times New Roman"/>
        </w:rPr>
        <w:t xml:space="preserve">zdravstvene usluge </w:t>
      </w:r>
      <w:r w:rsidR="005C5E8B">
        <w:rPr>
          <w:rFonts w:ascii="Times New Roman" w:hAnsi="Times New Roman" w:cs="Times New Roman"/>
        </w:rPr>
        <w:t>392,40 eura</w:t>
      </w:r>
      <w:r w:rsidRPr="008B65F0">
        <w:rPr>
          <w:rFonts w:ascii="Times New Roman" w:hAnsi="Times New Roman" w:cs="Times New Roman"/>
        </w:rPr>
        <w:t xml:space="preserve">, intelektualne i osobne usluge </w:t>
      </w:r>
      <w:r w:rsidR="005C5E8B">
        <w:rPr>
          <w:rFonts w:ascii="Times New Roman" w:hAnsi="Times New Roman" w:cs="Times New Roman"/>
        </w:rPr>
        <w:t>1.442,38 eura</w:t>
      </w:r>
      <w:r w:rsidRPr="008B65F0">
        <w:rPr>
          <w:rFonts w:ascii="Times New Roman" w:hAnsi="Times New Roman" w:cs="Times New Roman"/>
        </w:rPr>
        <w:t xml:space="preserve">, </w:t>
      </w:r>
      <w:r w:rsidRPr="008B65F0">
        <w:rPr>
          <w:rFonts w:ascii="Times New Roman" w:hAnsi="Times New Roman" w:cs="Times New Roman"/>
        </w:rPr>
        <w:lastRenderedPageBreak/>
        <w:t>ostale usluge 45,00</w:t>
      </w:r>
      <w:r w:rsidR="005C5E8B">
        <w:rPr>
          <w:rFonts w:ascii="Times New Roman" w:hAnsi="Times New Roman" w:cs="Times New Roman"/>
        </w:rPr>
        <w:t xml:space="preserve"> eura</w:t>
      </w:r>
      <w:r w:rsidRPr="008B65F0">
        <w:rPr>
          <w:rFonts w:ascii="Times New Roman" w:hAnsi="Times New Roman" w:cs="Times New Roman"/>
        </w:rPr>
        <w:t>,</w:t>
      </w:r>
      <w:r w:rsidR="005C5E8B">
        <w:rPr>
          <w:rFonts w:ascii="Times New Roman" w:hAnsi="Times New Roman" w:cs="Times New Roman"/>
        </w:rPr>
        <w:t xml:space="preserve"> premije osiguranja 261,00 eura,</w:t>
      </w:r>
      <w:r w:rsidRPr="008B65F0">
        <w:rPr>
          <w:rFonts w:ascii="Times New Roman" w:hAnsi="Times New Roman" w:cs="Times New Roman"/>
        </w:rPr>
        <w:t xml:space="preserve"> pristojbe i</w:t>
      </w:r>
      <w:r w:rsidR="005C5E8B">
        <w:rPr>
          <w:rFonts w:ascii="Times New Roman" w:hAnsi="Times New Roman" w:cs="Times New Roman"/>
        </w:rPr>
        <w:t xml:space="preserve"> </w:t>
      </w:r>
      <w:r w:rsidRPr="008B65F0">
        <w:rPr>
          <w:rFonts w:ascii="Times New Roman" w:hAnsi="Times New Roman" w:cs="Times New Roman"/>
        </w:rPr>
        <w:t xml:space="preserve">naknade </w:t>
      </w:r>
      <w:r w:rsidR="005C5E8B">
        <w:rPr>
          <w:rFonts w:ascii="Times New Roman" w:hAnsi="Times New Roman" w:cs="Times New Roman"/>
        </w:rPr>
        <w:t>127,44 eura</w:t>
      </w:r>
      <w:r w:rsidRPr="008B65F0">
        <w:rPr>
          <w:rFonts w:ascii="Times New Roman" w:hAnsi="Times New Roman" w:cs="Times New Roman"/>
        </w:rPr>
        <w:t xml:space="preserve"> te ostali nespomenuti rashodi poslovanja 140,00 </w:t>
      </w:r>
      <w:r w:rsidR="005C5E8B">
        <w:rPr>
          <w:rFonts w:ascii="Times New Roman" w:hAnsi="Times New Roman" w:cs="Times New Roman"/>
        </w:rPr>
        <w:t>eura</w:t>
      </w:r>
      <w:r w:rsidRPr="008B65F0">
        <w:rPr>
          <w:rFonts w:ascii="Times New Roman" w:hAnsi="Times New Roman" w:cs="Times New Roman"/>
        </w:rPr>
        <w:t>. Utrošena u sredstva i za financijske</w:t>
      </w:r>
      <w:r w:rsidR="005C5E8B">
        <w:rPr>
          <w:rFonts w:ascii="Times New Roman" w:hAnsi="Times New Roman" w:cs="Times New Roman"/>
        </w:rPr>
        <w:t xml:space="preserve"> </w:t>
      </w:r>
      <w:r w:rsidRPr="008B65F0">
        <w:rPr>
          <w:rFonts w:ascii="Times New Roman" w:hAnsi="Times New Roman" w:cs="Times New Roman"/>
        </w:rPr>
        <w:t xml:space="preserve">rashode, odnosno za bankarske usluge i usluge platnog prometa u iznosu od </w:t>
      </w:r>
      <w:r w:rsidR="005C5E8B">
        <w:rPr>
          <w:rFonts w:ascii="Times New Roman" w:hAnsi="Times New Roman" w:cs="Times New Roman"/>
        </w:rPr>
        <w:t>790,17 eura</w:t>
      </w:r>
      <w:r w:rsidRPr="008B65F0">
        <w:rPr>
          <w:rFonts w:ascii="Times New Roman" w:hAnsi="Times New Roman" w:cs="Times New Roman"/>
        </w:rPr>
        <w:t>, što predstavlja</w:t>
      </w:r>
      <w:r w:rsidR="005C5E8B">
        <w:rPr>
          <w:rFonts w:ascii="Times New Roman" w:hAnsi="Times New Roman" w:cs="Times New Roman"/>
        </w:rPr>
        <w:t xml:space="preserve"> 98,77</w:t>
      </w:r>
      <w:r w:rsidRPr="008B65F0">
        <w:rPr>
          <w:rFonts w:ascii="Times New Roman" w:hAnsi="Times New Roman" w:cs="Times New Roman"/>
        </w:rPr>
        <w:t>%.</w:t>
      </w:r>
    </w:p>
    <w:p w14:paraId="04B9B26B" w14:textId="77777777" w:rsidR="005C5E8B" w:rsidRPr="008B65F0" w:rsidRDefault="005C5E8B" w:rsidP="005F7729">
      <w:pPr>
        <w:tabs>
          <w:tab w:val="left" w:pos="6036"/>
        </w:tabs>
        <w:jc w:val="both"/>
        <w:rPr>
          <w:rFonts w:ascii="Times New Roman" w:hAnsi="Times New Roman" w:cs="Times New Roman"/>
        </w:rPr>
      </w:pPr>
    </w:p>
    <w:p w14:paraId="1A2D05BB" w14:textId="77777777" w:rsidR="008B65F0" w:rsidRPr="005C5E8B" w:rsidRDefault="008B65F0" w:rsidP="005F7729">
      <w:pPr>
        <w:tabs>
          <w:tab w:val="left" w:pos="6036"/>
        </w:tabs>
        <w:jc w:val="both"/>
        <w:rPr>
          <w:rFonts w:ascii="Times New Roman" w:hAnsi="Times New Roman" w:cs="Times New Roman"/>
          <w:b/>
          <w:bCs/>
        </w:rPr>
      </w:pPr>
      <w:r w:rsidRPr="005C5E8B">
        <w:rPr>
          <w:rFonts w:ascii="Times New Roman" w:hAnsi="Times New Roman" w:cs="Times New Roman"/>
          <w:b/>
          <w:bCs/>
        </w:rPr>
        <w:t>Izvor 5. Pomoći</w:t>
      </w:r>
    </w:p>
    <w:p w14:paraId="4C41986C" w14:textId="77777777" w:rsidR="008B65F0" w:rsidRPr="005C5E8B" w:rsidRDefault="008B65F0" w:rsidP="005F7729">
      <w:pPr>
        <w:tabs>
          <w:tab w:val="left" w:pos="6036"/>
        </w:tabs>
        <w:jc w:val="both"/>
        <w:rPr>
          <w:rFonts w:ascii="Times New Roman" w:hAnsi="Times New Roman" w:cs="Times New Roman"/>
          <w:b/>
          <w:bCs/>
        </w:rPr>
      </w:pPr>
      <w:r w:rsidRPr="005C5E8B">
        <w:rPr>
          <w:rFonts w:ascii="Times New Roman" w:hAnsi="Times New Roman" w:cs="Times New Roman"/>
          <w:b/>
          <w:bCs/>
        </w:rPr>
        <w:t>Izvor 5.V. Ministarstvo znanosti i obrazovanja</w:t>
      </w:r>
    </w:p>
    <w:p w14:paraId="774017DE" w14:textId="60124BDA"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Planirani su rashodi u iznosu od </w:t>
      </w:r>
      <w:r w:rsidR="005C5E8B">
        <w:rPr>
          <w:rFonts w:ascii="Times New Roman" w:hAnsi="Times New Roman" w:cs="Times New Roman"/>
        </w:rPr>
        <w:t>48.000,00 eura</w:t>
      </w:r>
      <w:r w:rsidRPr="008B65F0">
        <w:rPr>
          <w:rFonts w:ascii="Times New Roman" w:hAnsi="Times New Roman" w:cs="Times New Roman"/>
        </w:rPr>
        <w:t xml:space="preserve">, a izvršeni u iznosu od </w:t>
      </w:r>
      <w:r w:rsidR="008D680B">
        <w:rPr>
          <w:rFonts w:ascii="Times New Roman" w:hAnsi="Times New Roman" w:cs="Times New Roman"/>
        </w:rPr>
        <w:t>47.736,00 eura</w:t>
      </w:r>
      <w:r w:rsidRPr="008B65F0">
        <w:rPr>
          <w:rFonts w:ascii="Times New Roman" w:hAnsi="Times New Roman" w:cs="Times New Roman"/>
        </w:rPr>
        <w:t xml:space="preserve">, što predstavlja </w:t>
      </w:r>
      <w:r w:rsidR="008D680B">
        <w:rPr>
          <w:rFonts w:ascii="Times New Roman" w:hAnsi="Times New Roman" w:cs="Times New Roman"/>
        </w:rPr>
        <w:t>99,45</w:t>
      </w:r>
      <w:r w:rsidRPr="008B65F0">
        <w:rPr>
          <w:rFonts w:ascii="Times New Roman" w:hAnsi="Times New Roman" w:cs="Times New Roman"/>
        </w:rPr>
        <w:t>%</w:t>
      </w:r>
      <w:r w:rsidR="008D680B">
        <w:rPr>
          <w:rFonts w:ascii="Times New Roman" w:hAnsi="Times New Roman" w:cs="Times New Roman"/>
        </w:rPr>
        <w:t xml:space="preserve"> </w:t>
      </w:r>
      <w:r w:rsidRPr="008B65F0">
        <w:rPr>
          <w:rFonts w:ascii="Times New Roman" w:hAnsi="Times New Roman" w:cs="Times New Roman"/>
        </w:rPr>
        <w:t>plana.</w:t>
      </w:r>
    </w:p>
    <w:p w14:paraId="71A3DF7F" w14:textId="55ADFFE0"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Sredstva su utrošena za rashode za zaposlene u ukupnom iznosu od </w:t>
      </w:r>
      <w:r w:rsidR="008D680B">
        <w:rPr>
          <w:rFonts w:ascii="Times New Roman" w:hAnsi="Times New Roman" w:cs="Times New Roman"/>
        </w:rPr>
        <w:t>47.736,00 eura</w:t>
      </w:r>
      <w:r w:rsidRPr="008B65F0">
        <w:rPr>
          <w:rFonts w:ascii="Times New Roman" w:hAnsi="Times New Roman" w:cs="Times New Roman"/>
        </w:rPr>
        <w:t>, od čega su plaće za</w:t>
      </w:r>
      <w:r w:rsidR="008D680B">
        <w:rPr>
          <w:rFonts w:ascii="Times New Roman" w:hAnsi="Times New Roman" w:cs="Times New Roman"/>
        </w:rPr>
        <w:t xml:space="preserve"> </w:t>
      </w:r>
      <w:r w:rsidRPr="008B65F0">
        <w:rPr>
          <w:rFonts w:ascii="Times New Roman" w:hAnsi="Times New Roman" w:cs="Times New Roman"/>
        </w:rPr>
        <w:t xml:space="preserve">redovan rad </w:t>
      </w:r>
      <w:r w:rsidR="008D680B">
        <w:rPr>
          <w:rFonts w:ascii="Times New Roman" w:hAnsi="Times New Roman" w:cs="Times New Roman"/>
        </w:rPr>
        <w:t>39.859,56 eura</w:t>
      </w:r>
      <w:r w:rsidRPr="008B65F0">
        <w:rPr>
          <w:rFonts w:ascii="Times New Roman" w:hAnsi="Times New Roman" w:cs="Times New Roman"/>
        </w:rPr>
        <w:t xml:space="preserve"> te doprinosi za obvezno zdravstveno osiguranje </w:t>
      </w:r>
      <w:r w:rsidR="008D680B">
        <w:rPr>
          <w:rFonts w:ascii="Times New Roman" w:hAnsi="Times New Roman" w:cs="Times New Roman"/>
        </w:rPr>
        <w:t>7.876,44 eura</w:t>
      </w:r>
      <w:r w:rsidRPr="008B65F0">
        <w:rPr>
          <w:rFonts w:ascii="Times New Roman" w:hAnsi="Times New Roman" w:cs="Times New Roman"/>
        </w:rPr>
        <w:t>.</w:t>
      </w:r>
    </w:p>
    <w:p w14:paraId="36C1F3AA" w14:textId="77777777" w:rsidR="008B65F0" w:rsidRPr="008B65F0" w:rsidRDefault="008B65F0" w:rsidP="005F7729">
      <w:pPr>
        <w:tabs>
          <w:tab w:val="left" w:pos="6036"/>
        </w:tabs>
        <w:jc w:val="both"/>
        <w:rPr>
          <w:rFonts w:ascii="Times New Roman" w:hAnsi="Times New Roman" w:cs="Times New Roman"/>
        </w:rPr>
      </w:pPr>
    </w:p>
    <w:p w14:paraId="49AD8338"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Aktivnost A100003 Radionice za djecu</w:t>
      </w:r>
    </w:p>
    <w:p w14:paraId="208FD99B"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Izvor 4. Ostali prihodi za posebne namjene</w:t>
      </w:r>
    </w:p>
    <w:p w14:paraId="499BD61E"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Izvor 4.V. Sufinanciranje cijene vrtića</w:t>
      </w:r>
    </w:p>
    <w:p w14:paraId="40F8E5EA" w14:textId="2D8CC647"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Planirani su rashodi u iznosu od </w:t>
      </w:r>
      <w:r w:rsidR="008D680B">
        <w:rPr>
          <w:rFonts w:ascii="Times New Roman" w:hAnsi="Times New Roman" w:cs="Times New Roman"/>
        </w:rPr>
        <w:t>2.050,00 eura</w:t>
      </w:r>
      <w:r w:rsidRPr="008B65F0">
        <w:rPr>
          <w:rFonts w:ascii="Times New Roman" w:hAnsi="Times New Roman" w:cs="Times New Roman"/>
        </w:rPr>
        <w:t xml:space="preserve">, a izvršeni u iznosu od </w:t>
      </w:r>
      <w:r w:rsidR="008D680B">
        <w:rPr>
          <w:rFonts w:ascii="Times New Roman" w:hAnsi="Times New Roman" w:cs="Times New Roman"/>
        </w:rPr>
        <w:t>2.236,91 eura</w:t>
      </w:r>
      <w:r w:rsidRPr="008B65F0">
        <w:rPr>
          <w:rFonts w:ascii="Times New Roman" w:hAnsi="Times New Roman" w:cs="Times New Roman"/>
        </w:rPr>
        <w:t xml:space="preserve">, što predstavlja </w:t>
      </w:r>
      <w:r w:rsidR="008D680B">
        <w:rPr>
          <w:rFonts w:ascii="Times New Roman" w:hAnsi="Times New Roman" w:cs="Times New Roman"/>
        </w:rPr>
        <w:t>98,58</w:t>
      </w:r>
      <w:r w:rsidRPr="008B65F0">
        <w:rPr>
          <w:rFonts w:ascii="Times New Roman" w:hAnsi="Times New Roman" w:cs="Times New Roman"/>
        </w:rPr>
        <w:t>%.</w:t>
      </w:r>
      <w:r w:rsidR="008D680B">
        <w:rPr>
          <w:rFonts w:ascii="Times New Roman" w:hAnsi="Times New Roman" w:cs="Times New Roman"/>
        </w:rPr>
        <w:t xml:space="preserve"> </w:t>
      </w:r>
      <w:r w:rsidRPr="008B65F0">
        <w:rPr>
          <w:rFonts w:ascii="Times New Roman" w:hAnsi="Times New Roman" w:cs="Times New Roman"/>
        </w:rPr>
        <w:t>Sredstva su utrošena za materijalne rashode od čega su uredski materijal i ostali materijalni rashodi</w:t>
      </w:r>
      <w:r w:rsidR="008D680B">
        <w:rPr>
          <w:rFonts w:ascii="Times New Roman" w:hAnsi="Times New Roman" w:cs="Times New Roman"/>
        </w:rPr>
        <w:t xml:space="preserve"> 1.517,93 eura</w:t>
      </w:r>
      <w:r w:rsidRPr="008B65F0">
        <w:rPr>
          <w:rFonts w:ascii="Times New Roman" w:hAnsi="Times New Roman" w:cs="Times New Roman"/>
        </w:rPr>
        <w:t xml:space="preserve"> i sitni inventar </w:t>
      </w:r>
      <w:r w:rsidR="008D680B">
        <w:rPr>
          <w:rFonts w:ascii="Times New Roman" w:hAnsi="Times New Roman" w:cs="Times New Roman"/>
        </w:rPr>
        <w:t>502,97 eura</w:t>
      </w:r>
      <w:r w:rsidRPr="008B65F0">
        <w:rPr>
          <w:rFonts w:ascii="Times New Roman" w:hAnsi="Times New Roman" w:cs="Times New Roman"/>
        </w:rPr>
        <w:t>.</w:t>
      </w:r>
    </w:p>
    <w:p w14:paraId="279920DE" w14:textId="77777777" w:rsidR="008B65F0" w:rsidRPr="008B65F0" w:rsidRDefault="008B65F0" w:rsidP="005F7729">
      <w:pPr>
        <w:tabs>
          <w:tab w:val="left" w:pos="6036"/>
        </w:tabs>
        <w:jc w:val="both"/>
        <w:rPr>
          <w:rFonts w:ascii="Times New Roman" w:hAnsi="Times New Roman" w:cs="Times New Roman"/>
        </w:rPr>
      </w:pPr>
    </w:p>
    <w:p w14:paraId="388EBCD7"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Izvor 5. Pomoći</w:t>
      </w:r>
    </w:p>
    <w:p w14:paraId="56EF55ED"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Izvor 5.K. Ministarstvo znanosti i obrazovanja - PK</w:t>
      </w:r>
    </w:p>
    <w:p w14:paraId="0A40B796" w14:textId="1A52DA73"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Planirani su materijalni rashodi u iznosu od 700,00 </w:t>
      </w:r>
      <w:r w:rsidR="008D680B">
        <w:rPr>
          <w:rFonts w:ascii="Times New Roman" w:hAnsi="Times New Roman" w:cs="Times New Roman"/>
        </w:rPr>
        <w:t>eura</w:t>
      </w:r>
      <w:r w:rsidRPr="008B65F0">
        <w:rPr>
          <w:rFonts w:ascii="Times New Roman" w:hAnsi="Times New Roman" w:cs="Times New Roman"/>
        </w:rPr>
        <w:t xml:space="preserve">, dok izvršenje u promatranom razdoblju iznosi </w:t>
      </w:r>
      <w:r w:rsidR="008D680B">
        <w:rPr>
          <w:rFonts w:ascii="Times New Roman" w:hAnsi="Times New Roman" w:cs="Times New Roman"/>
        </w:rPr>
        <w:t>216,01 eura, odnosno 30,86%.</w:t>
      </w:r>
    </w:p>
    <w:p w14:paraId="6FCF9BA1" w14:textId="77777777" w:rsidR="008B65F0" w:rsidRPr="008B65F0" w:rsidRDefault="008B65F0" w:rsidP="005F7729">
      <w:pPr>
        <w:tabs>
          <w:tab w:val="left" w:pos="6036"/>
        </w:tabs>
        <w:jc w:val="both"/>
        <w:rPr>
          <w:rFonts w:ascii="Times New Roman" w:hAnsi="Times New Roman" w:cs="Times New Roman"/>
        </w:rPr>
      </w:pPr>
    </w:p>
    <w:p w14:paraId="0A925ACA"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Kapitalni projekt K100002 Zgrada Vrtića Ston - investicijsko održavanje</w:t>
      </w:r>
    </w:p>
    <w:p w14:paraId="2BB1AF0E"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Izvor 1. Opći prihodi i primici</w:t>
      </w:r>
    </w:p>
    <w:p w14:paraId="5A95845A"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Izvor 1.1. Opći prihodi i primici</w:t>
      </w:r>
    </w:p>
    <w:p w14:paraId="3503497D" w14:textId="4C5EC802"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Planirani su rashodi u iznosu od 500,00 </w:t>
      </w:r>
      <w:r w:rsidR="008D680B">
        <w:rPr>
          <w:rFonts w:ascii="Times New Roman" w:hAnsi="Times New Roman" w:cs="Times New Roman"/>
        </w:rPr>
        <w:t>eura</w:t>
      </w:r>
      <w:r w:rsidRPr="008B65F0">
        <w:rPr>
          <w:rFonts w:ascii="Times New Roman" w:hAnsi="Times New Roman" w:cs="Times New Roman"/>
        </w:rPr>
        <w:t xml:space="preserve"> te nisu zabilježeni u </w:t>
      </w:r>
      <w:r w:rsidR="008D680B">
        <w:rPr>
          <w:rFonts w:ascii="Times New Roman" w:hAnsi="Times New Roman" w:cs="Times New Roman"/>
        </w:rPr>
        <w:t>2025. godini</w:t>
      </w:r>
      <w:r w:rsidRPr="008B65F0">
        <w:rPr>
          <w:rFonts w:ascii="Times New Roman" w:hAnsi="Times New Roman" w:cs="Times New Roman"/>
        </w:rPr>
        <w:t>.</w:t>
      </w:r>
    </w:p>
    <w:p w14:paraId="5A26FD40"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Izvor 4. Ostali prihodi za posebne namjene</w:t>
      </w:r>
    </w:p>
    <w:p w14:paraId="24CE6CF9"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Izvor 4.V. Sufinanciranje cijene vrtića</w:t>
      </w:r>
    </w:p>
    <w:p w14:paraId="1E375571" w14:textId="2A93B3C7"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Planirani su rashodi u iznosu od 800,00 </w:t>
      </w:r>
      <w:r w:rsidR="008D680B">
        <w:rPr>
          <w:rFonts w:ascii="Times New Roman" w:hAnsi="Times New Roman" w:cs="Times New Roman"/>
        </w:rPr>
        <w:t>eura,</w:t>
      </w:r>
      <w:r w:rsidRPr="008B65F0">
        <w:rPr>
          <w:rFonts w:ascii="Times New Roman" w:hAnsi="Times New Roman" w:cs="Times New Roman"/>
        </w:rPr>
        <w:t xml:space="preserve"> ali izvršenje u 2025. godine iznosi 0,00 </w:t>
      </w:r>
      <w:r w:rsidR="008D680B">
        <w:rPr>
          <w:rFonts w:ascii="Times New Roman" w:hAnsi="Times New Roman" w:cs="Times New Roman"/>
        </w:rPr>
        <w:t>eura</w:t>
      </w:r>
      <w:r w:rsidRPr="008B65F0">
        <w:rPr>
          <w:rFonts w:ascii="Times New Roman" w:hAnsi="Times New Roman" w:cs="Times New Roman"/>
        </w:rPr>
        <w:t>.</w:t>
      </w:r>
    </w:p>
    <w:p w14:paraId="4BD58061"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lastRenderedPageBreak/>
        <w:t>Izvor 6. Donacije</w:t>
      </w:r>
    </w:p>
    <w:p w14:paraId="58AAE925"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Izvor 6.2. Donacije od sponzora</w:t>
      </w:r>
    </w:p>
    <w:p w14:paraId="2FBF1D77" w14:textId="51EA0945"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Planirani su rashodi u iznosu od 500,00 </w:t>
      </w:r>
      <w:r w:rsidR="008D680B">
        <w:rPr>
          <w:rFonts w:ascii="Times New Roman" w:hAnsi="Times New Roman" w:cs="Times New Roman"/>
        </w:rPr>
        <w:t>eura,</w:t>
      </w:r>
      <w:r w:rsidRPr="008B65F0">
        <w:rPr>
          <w:rFonts w:ascii="Times New Roman" w:hAnsi="Times New Roman" w:cs="Times New Roman"/>
        </w:rPr>
        <w:t xml:space="preserve"> ali nisu izvršeni u promatranom razdoblju.</w:t>
      </w:r>
    </w:p>
    <w:p w14:paraId="51DA1CB8" w14:textId="77777777" w:rsidR="008B65F0" w:rsidRPr="008B65F0" w:rsidRDefault="008B65F0" w:rsidP="005F7729">
      <w:pPr>
        <w:tabs>
          <w:tab w:val="left" w:pos="6036"/>
        </w:tabs>
        <w:jc w:val="both"/>
        <w:rPr>
          <w:rFonts w:ascii="Times New Roman" w:hAnsi="Times New Roman" w:cs="Times New Roman"/>
        </w:rPr>
      </w:pPr>
    </w:p>
    <w:p w14:paraId="378CAB6A"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Kapitalni projekt K100003 Nabava opreme za radionice</w:t>
      </w:r>
    </w:p>
    <w:p w14:paraId="2A98E2EB"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Izvor 5. Pomoći</w:t>
      </w:r>
    </w:p>
    <w:p w14:paraId="464609F1"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Izvor 5.K. Ministarstvo znanosti i obrazovanja - PK</w:t>
      </w:r>
    </w:p>
    <w:p w14:paraId="59FDB0D1" w14:textId="7BDF4E9F"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 xml:space="preserve">Planirani su rashodi za nabavu proizvedene dugotrajne imovine u iznosu od </w:t>
      </w:r>
      <w:r w:rsidR="008D680B">
        <w:rPr>
          <w:rFonts w:ascii="Times New Roman" w:hAnsi="Times New Roman" w:cs="Times New Roman"/>
        </w:rPr>
        <w:t>370,00 eura</w:t>
      </w:r>
      <w:r w:rsidRPr="008B65F0">
        <w:rPr>
          <w:rFonts w:ascii="Times New Roman" w:hAnsi="Times New Roman" w:cs="Times New Roman"/>
        </w:rPr>
        <w:t>, te izvršenje u</w:t>
      </w:r>
      <w:r w:rsidR="008D680B">
        <w:rPr>
          <w:rFonts w:ascii="Times New Roman" w:hAnsi="Times New Roman" w:cs="Times New Roman"/>
        </w:rPr>
        <w:t xml:space="preserve"> </w:t>
      </w:r>
      <w:r w:rsidRPr="008B65F0">
        <w:rPr>
          <w:rFonts w:ascii="Times New Roman" w:hAnsi="Times New Roman" w:cs="Times New Roman"/>
        </w:rPr>
        <w:t xml:space="preserve">promatranom razdoblju iznosi 363,51 </w:t>
      </w:r>
      <w:r w:rsidR="008D680B">
        <w:rPr>
          <w:rFonts w:ascii="Times New Roman" w:hAnsi="Times New Roman" w:cs="Times New Roman"/>
        </w:rPr>
        <w:t>eura</w:t>
      </w:r>
      <w:r w:rsidRPr="008B65F0">
        <w:rPr>
          <w:rFonts w:ascii="Times New Roman" w:hAnsi="Times New Roman" w:cs="Times New Roman"/>
        </w:rPr>
        <w:t xml:space="preserve">, odnosno </w:t>
      </w:r>
      <w:r w:rsidR="008D680B">
        <w:rPr>
          <w:rFonts w:ascii="Times New Roman" w:hAnsi="Times New Roman" w:cs="Times New Roman"/>
        </w:rPr>
        <w:t>98,25</w:t>
      </w:r>
      <w:r w:rsidRPr="008B65F0">
        <w:rPr>
          <w:rFonts w:ascii="Times New Roman" w:hAnsi="Times New Roman" w:cs="Times New Roman"/>
        </w:rPr>
        <w:t>%.</w:t>
      </w:r>
    </w:p>
    <w:p w14:paraId="747529A0" w14:textId="77777777" w:rsidR="008B65F0" w:rsidRPr="008B65F0" w:rsidRDefault="008B65F0" w:rsidP="005F7729">
      <w:pPr>
        <w:tabs>
          <w:tab w:val="left" w:pos="6036"/>
        </w:tabs>
        <w:jc w:val="both"/>
        <w:rPr>
          <w:rFonts w:ascii="Times New Roman" w:hAnsi="Times New Roman" w:cs="Times New Roman"/>
        </w:rPr>
      </w:pPr>
    </w:p>
    <w:p w14:paraId="4DCAC7F3"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Kapitalni projekt K100004 Nabava opreme i uređaja</w:t>
      </w:r>
    </w:p>
    <w:p w14:paraId="7765939C"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Izvor 4. Ostali prihodi za posebne namjene</w:t>
      </w:r>
    </w:p>
    <w:p w14:paraId="0EDCBBD0" w14:textId="77777777" w:rsidR="008B65F0" w:rsidRPr="008D680B" w:rsidRDefault="008B65F0" w:rsidP="005F7729">
      <w:pPr>
        <w:tabs>
          <w:tab w:val="left" w:pos="6036"/>
        </w:tabs>
        <w:jc w:val="both"/>
        <w:rPr>
          <w:rFonts w:ascii="Times New Roman" w:hAnsi="Times New Roman" w:cs="Times New Roman"/>
          <w:b/>
          <w:bCs/>
        </w:rPr>
      </w:pPr>
      <w:r w:rsidRPr="008D680B">
        <w:rPr>
          <w:rFonts w:ascii="Times New Roman" w:hAnsi="Times New Roman" w:cs="Times New Roman"/>
          <w:b/>
          <w:bCs/>
        </w:rPr>
        <w:t>Izvor 4.V. Sufinanciranje cijene vrtića</w:t>
      </w:r>
    </w:p>
    <w:p w14:paraId="01BB1A2F" w14:textId="78901393" w:rsidR="008B65F0" w:rsidRPr="008B65F0" w:rsidRDefault="008B65F0" w:rsidP="005F7729">
      <w:pPr>
        <w:tabs>
          <w:tab w:val="left" w:pos="6036"/>
        </w:tabs>
        <w:jc w:val="both"/>
        <w:rPr>
          <w:rFonts w:ascii="Times New Roman" w:hAnsi="Times New Roman" w:cs="Times New Roman"/>
        </w:rPr>
      </w:pPr>
      <w:r w:rsidRPr="008B65F0">
        <w:rPr>
          <w:rFonts w:ascii="Times New Roman" w:hAnsi="Times New Roman" w:cs="Times New Roman"/>
        </w:rPr>
        <w:t>Planirani su rashodi za nabavu proizvedene dugotrajne imovine u iznosu od 3.2</w:t>
      </w:r>
      <w:r w:rsidR="008D680B">
        <w:rPr>
          <w:rFonts w:ascii="Times New Roman" w:hAnsi="Times New Roman" w:cs="Times New Roman"/>
        </w:rPr>
        <w:t>0</w:t>
      </w:r>
      <w:r w:rsidRPr="008B65F0">
        <w:rPr>
          <w:rFonts w:ascii="Times New Roman" w:hAnsi="Times New Roman" w:cs="Times New Roman"/>
        </w:rPr>
        <w:t xml:space="preserve">0,00 </w:t>
      </w:r>
      <w:r w:rsidR="008D680B">
        <w:rPr>
          <w:rFonts w:ascii="Times New Roman" w:hAnsi="Times New Roman" w:cs="Times New Roman"/>
        </w:rPr>
        <w:t>eura</w:t>
      </w:r>
      <w:r w:rsidRPr="008B65F0">
        <w:rPr>
          <w:rFonts w:ascii="Times New Roman" w:hAnsi="Times New Roman" w:cs="Times New Roman"/>
        </w:rPr>
        <w:t>, a</w:t>
      </w:r>
      <w:r w:rsidR="008D680B">
        <w:rPr>
          <w:rFonts w:ascii="Times New Roman" w:hAnsi="Times New Roman" w:cs="Times New Roman"/>
        </w:rPr>
        <w:t xml:space="preserve"> </w:t>
      </w:r>
      <w:r w:rsidRPr="008B65F0">
        <w:rPr>
          <w:rFonts w:ascii="Times New Roman" w:hAnsi="Times New Roman" w:cs="Times New Roman"/>
        </w:rPr>
        <w:t>izvršeni su</w:t>
      </w:r>
      <w:r w:rsidR="008D680B">
        <w:rPr>
          <w:rFonts w:ascii="Times New Roman" w:hAnsi="Times New Roman" w:cs="Times New Roman"/>
        </w:rPr>
        <w:t xml:space="preserve"> </w:t>
      </w:r>
      <w:r w:rsidRPr="008B65F0">
        <w:rPr>
          <w:rFonts w:ascii="Times New Roman" w:hAnsi="Times New Roman" w:cs="Times New Roman"/>
        </w:rPr>
        <w:t xml:space="preserve">iznosu od </w:t>
      </w:r>
      <w:r w:rsidR="008D680B">
        <w:rPr>
          <w:rFonts w:ascii="Times New Roman" w:hAnsi="Times New Roman" w:cs="Times New Roman"/>
        </w:rPr>
        <w:t>2.663,19 eura</w:t>
      </w:r>
      <w:r w:rsidRPr="008B65F0">
        <w:rPr>
          <w:rFonts w:ascii="Times New Roman" w:hAnsi="Times New Roman" w:cs="Times New Roman"/>
        </w:rPr>
        <w:t xml:space="preserve">, što predstavlja </w:t>
      </w:r>
      <w:r w:rsidR="008D680B">
        <w:rPr>
          <w:rFonts w:ascii="Times New Roman" w:hAnsi="Times New Roman" w:cs="Times New Roman"/>
        </w:rPr>
        <w:t>83,22</w:t>
      </w:r>
      <w:r w:rsidRPr="008B65F0">
        <w:rPr>
          <w:rFonts w:ascii="Times New Roman" w:hAnsi="Times New Roman" w:cs="Times New Roman"/>
        </w:rPr>
        <w:t>% te su sredstva utrošena za nabavu uredske opreme i</w:t>
      </w:r>
      <w:r w:rsidR="008D680B">
        <w:rPr>
          <w:rFonts w:ascii="Times New Roman" w:hAnsi="Times New Roman" w:cs="Times New Roman"/>
        </w:rPr>
        <w:t xml:space="preserve"> </w:t>
      </w:r>
      <w:r w:rsidRPr="008B65F0">
        <w:rPr>
          <w:rFonts w:ascii="Times New Roman" w:hAnsi="Times New Roman" w:cs="Times New Roman"/>
        </w:rPr>
        <w:t xml:space="preserve">namještaja u iznosu od </w:t>
      </w:r>
      <w:r w:rsidR="008D680B">
        <w:rPr>
          <w:rFonts w:ascii="Times New Roman" w:hAnsi="Times New Roman" w:cs="Times New Roman"/>
        </w:rPr>
        <w:t>1.566,90 eura</w:t>
      </w:r>
      <w:r w:rsidRPr="008B65F0">
        <w:rPr>
          <w:rFonts w:ascii="Times New Roman" w:hAnsi="Times New Roman" w:cs="Times New Roman"/>
        </w:rPr>
        <w:t>, nabavu opreme za održavanje i zaštitu u iznosu od 42</w:t>
      </w:r>
      <w:r w:rsidR="008D680B">
        <w:rPr>
          <w:rFonts w:ascii="Times New Roman" w:hAnsi="Times New Roman" w:cs="Times New Roman"/>
        </w:rPr>
        <w:t>8,86 eura</w:t>
      </w:r>
      <w:r w:rsidRPr="008B65F0">
        <w:rPr>
          <w:rFonts w:ascii="Times New Roman" w:hAnsi="Times New Roman" w:cs="Times New Roman"/>
        </w:rPr>
        <w:t>, sportsku i</w:t>
      </w:r>
      <w:r w:rsidR="008D680B">
        <w:rPr>
          <w:rFonts w:ascii="Times New Roman" w:hAnsi="Times New Roman" w:cs="Times New Roman"/>
        </w:rPr>
        <w:t xml:space="preserve"> </w:t>
      </w:r>
      <w:r w:rsidRPr="008B65F0">
        <w:rPr>
          <w:rFonts w:ascii="Times New Roman" w:hAnsi="Times New Roman" w:cs="Times New Roman"/>
        </w:rPr>
        <w:t xml:space="preserve">glazbenu opremu u iznosu od 133,75 </w:t>
      </w:r>
      <w:r w:rsidR="008D680B">
        <w:rPr>
          <w:rFonts w:ascii="Times New Roman" w:hAnsi="Times New Roman" w:cs="Times New Roman"/>
        </w:rPr>
        <w:t>eura</w:t>
      </w:r>
      <w:r w:rsidRPr="008B65F0">
        <w:rPr>
          <w:rFonts w:ascii="Times New Roman" w:hAnsi="Times New Roman" w:cs="Times New Roman"/>
        </w:rPr>
        <w:t xml:space="preserve"> te uređaje,</w:t>
      </w:r>
      <w:r w:rsidR="008D680B">
        <w:rPr>
          <w:rFonts w:ascii="Times New Roman" w:hAnsi="Times New Roman" w:cs="Times New Roman"/>
        </w:rPr>
        <w:t xml:space="preserve"> </w:t>
      </w:r>
      <w:r w:rsidRPr="008B65F0">
        <w:rPr>
          <w:rFonts w:ascii="Times New Roman" w:hAnsi="Times New Roman" w:cs="Times New Roman"/>
        </w:rPr>
        <w:t>strojeve i opremu za ostale namjene u iznosu od 533,68</w:t>
      </w:r>
      <w:r w:rsidR="008D680B">
        <w:rPr>
          <w:rFonts w:ascii="Times New Roman" w:hAnsi="Times New Roman" w:cs="Times New Roman"/>
        </w:rPr>
        <w:t xml:space="preserve"> eura</w:t>
      </w:r>
      <w:r w:rsidRPr="008B65F0">
        <w:rPr>
          <w:rFonts w:ascii="Times New Roman" w:hAnsi="Times New Roman" w:cs="Times New Roman"/>
        </w:rPr>
        <w:t>.</w:t>
      </w:r>
    </w:p>
    <w:p w14:paraId="01E83A12" w14:textId="77777777" w:rsidR="008B65F0" w:rsidRPr="008B65F0" w:rsidRDefault="008B65F0" w:rsidP="005F7729">
      <w:pPr>
        <w:tabs>
          <w:tab w:val="left" w:pos="6036"/>
        </w:tabs>
        <w:jc w:val="both"/>
        <w:rPr>
          <w:rFonts w:ascii="Times New Roman" w:hAnsi="Times New Roman" w:cs="Times New Roman"/>
        </w:rPr>
      </w:pPr>
    </w:p>
    <w:p w14:paraId="45087279" w14:textId="7ACA2BCA" w:rsidR="008B65F0" w:rsidRPr="008B65F0" w:rsidRDefault="008D680B" w:rsidP="008D680B">
      <w:pPr>
        <w:tabs>
          <w:tab w:val="left" w:pos="6036"/>
        </w:tabs>
        <w:rPr>
          <w:rFonts w:ascii="Times New Roman" w:hAnsi="Times New Roman" w:cs="Times New Roman"/>
        </w:rPr>
      </w:pPr>
      <w:r>
        <w:rPr>
          <w:rFonts w:ascii="Times New Roman" w:hAnsi="Times New Roman" w:cs="Times New Roman"/>
        </w:rPr>
        <w:tab/>
      </w:r>
      <w:r w:rsidR="008B65F0" w:rsidRPr="008B65F0">
        <w:rPr>
          <w:rFonts w:ascii="Times New Roman" w:hAnsi="Times New Roman" w:cs="Times New Roman"/>
        </w:rPr>
        <w:t>Ravnateljica:</w:t>
      </w:r>
    </w:p>
    <w:p w14:paraId="70580C97" w14:textId="32FE11EC" w:rsidR="00C7124C" w:rsidRPr="008B65F0" w:rsidRDefault="008D680B" w:rsidP="008D680B">
      <w:pPr>
        <w:tabs>
          <w:tab w:val="left" w:pos="6036"/>
        </w:tabs>
        <w:rPr>
          <w:rFonts w:ascii="Times New Roman" w:hAnsi="Times New Roman" w:cs="Times New Roman"/>
        </w:rPr>
      </w:pPr>
      <w:r>
        <w:rPr>
          <w:rFonts w:ascii="Times New Roman" w:hAnsi="Times New Roman" w:cs="Times New Roman"/>
        </w:rPr>
        <w:tab/>
        <w:t xml:space="preserve">  </w:t>
      </w:r>
      <w:r w:rsidR="008B65F0" w:rsidRPr="008B65F0">
        <w:rPr>
          <w:rFonts w:ascii="Times New Roman" w:hAnsi="Times New Roman" w:cs="Times New Roman"/>
        </w:rPr>
        <w:t>Maja Žile</w:t>
      </w:r>
    </w:p>
    <w:sectPr w:rsidR="00C7124C" w:rsidRPr="008B6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lvl w:ilvl="0">
      <w:start w:val="1"/>
      <w:numFmt w:val="decimal"/>
      <w:lvlText w:val="%1."/>
      <w:lvlJc w:val="left"/>
      <w:pPr>
        <w:tabs>
          <w:tab w:val="num" w:pos="0"/>
        </w:tabs>
        <w:ind w:left="720" w:hanging="360"/>
      </w:pPr>
      <w:rPr>
        <w:rFonts w:ascii="Garamond" w:hAnsi="Garamond"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FC"/>
    <w:rsid w:val="000B0818"/>
    <w:rsid w:val="00166425"/>
    <w:rsid w:val="002A7396"/>
    <w:rsid w:val="002E53C1"/>
    <w:rsid w:val="00471F1B"/>
    <w:rsid w:val="005C2C2D"/>
    <w:rsid w:val="005C5E8B"/>
    <w:rsid w:val="005F7729"/>
    <w:rsid w:val="00693BEE"/>
    <w:rsid w:val="007F6300"/>
    <w:rsid w:val="00837BB1"/>
    <w:rsid w:val="008564CC"/>
    <w:rsid w:val="008B65F0"/>
    <w:rsid w:val="008D680B"/>
    <w:rsid w:val="008F2553"/>
    <w:rsid w:val="00A32F82"/>
    <w:rsid w:val="00B11EFC"/>
    <w:rsid w:val="00C7124C"/>
    <w:rsid w:val="00D74BF5"/>
    <w:rsid w:val="00E522D4"/>
    <w:rsid w:val="00E93541"/>
    <w:rsid w:val="00F053E3"/>
    <w:rsid w:val="00F44094"/>
    <w:rsid w:val="00FB40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B0BC"/>
  <w15:chartTrackingRefBased/>
  <w15:docId w15:val="{2376BEBC-3093-4A22-A2C7-2F80E6EC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1E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1E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1E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1E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1E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1E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E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E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E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E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1E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1E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1E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1E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1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EFC"/>
    <w:rPr>
      <w:rFonts w:eastAsiaTheme="majorEastAsia" w:cstheme="majorBidi"/>
      <w:color w:val="272727" w:themeColor="text1" w:themeTint="D8"/>
    </w:rPr>
  </w:style>
  <w:style w:type="paragraph" w:styleId="Title">
    <w:name w:val="Title"/>
    <w:basedOn w:val="Normal"/>
    <w:next w:val="Normal"/>
    <w:link w:val="TitleChar"/>
    <w:uiPriority w:val="10"/>
    <w:qFormat/>
    <w:rsid w:val="00B11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E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EFC"/>
    <w:pPr>
      <w:spacing w:before="160"/>
      <w:jc w:val="center"/>
    </w:pPr>
    <w:rPr>
      <w:i/>
      <w:iCs/>
      <w:color w:val="404040" w:themeColor="text1" w:themeTint="BF"/>
    </w:rPr>
  </w:style>
  <w:style w:type="character" w:customStyle="1" w:styleId="QuoteChar">
    <w:name w:val="Quote Char"/>
    <w:basedOn w:val="DefaultParagraphFont"/>
    <w:link w:val="Quote"/>
    <w:uiPriority w:val="29"/>
    <w:rsid w:val="00B11EFC"/>
    <w:rPr>
      <w:i/>
      <w:iCs/>
      <w:color w:val="404040" w:themeColor="text1" w:themeTint="BF"/>
    </w:rPr>
  </w:style>
  <w:style w:type="paragraph" w:styleId="ListParagraph">
    <w:name w:val="List Paragraph"/>
    <w:basedOn w:val="Normal"/>
    <w:uiPriority w:val="34"/>
    <w:qFormat/>
    <w:rsid w:val="00B11EFC"/>
    <w:pPr>
      <w:ind w:left="720"/>
      <w:contextualSpacing/>
    </w:pPr>
  </w:style>
  <w:style w:type="character" w:styleId="IntenseEmphasis">
    <w:name w:val="Intense Emphasis"/>
    <w:basedOn w:val="DefaultParagraphFont"/>
    <w:uiPriority w:val="21"/>
    <w:qFormat/>
    <w:rsid w:val="00B11EFC"/>
    <w:rPr>
      <w:i/>
      <w:iCs/>
      <w:color w:val="2F5496" w:themeColor="accent1" w:themeShade="BF"/>
    </w:rPr>
  </w:style>
  <w:style w:type="paragraph" w:styleId="IntenseQuote">
    <w:name w:val="Intense Quote"/>
    <w:basedOn w:val="Normal"/>
    <w:next w:val="Normal"/>
    <w:link w:val="IntenseQuoteChar"/>
    <w:uiPriority w:val="30"/>
    <w:qFormat/>
    <w:rsid w:val="00B11E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1EFC"/>
    <w:rPr>
      <w:i/>
      <w:iCs/>
      <w:color w:val="2F5496" w:themeColor="accent1" w:themeShade="BF"/>
    </w:rPr>
  </w:style>
  <w:style w:type="character" w:styleId="IntenseReference">
    <w:name w:val="Intense Reference"/>
    <w:basedOn w:val="DefaultParagraphFont"/>
    <w:uiPriority w:val="32"/>
    <w:qFormat/>
    <w:rsid w:val="00B11EFC"/>
    <w:rPr>
      <w:b/>
      <w:bCs/>
      <w:smallCaps/>
      <w:color w:val="2F5496" w:themeColor="accent1" w:themeShade="BF"/>
      <w:spacing w:val="5"/>
    </w:rPr>
  </w:style>
  <w:style w:type="character" w:styleId="Hyperlink">
    <w:name w:val="Hyperlink"/>
    <w:basedOn w:val="DefaultParagraphFont"/>
    <w:uiPriority w:val="99"/>
    <w:unhideWhenUsed/>
    <w:rsid w:val="00B11EFC"/>
    <w:rPr>
      <w:color w:val="0563C1" w:themeColor="hyperlink"/>
      <w:u w:val="single"/>
    </w:rPr>
  </w:style>
  <w:style w:type="character" w:customStyle="1" w:styleId="UnresolvedMention">
    <w:name w:val="Unresolved Mention"/>
    <w:basedOn w:val="DefaultParagraphFont"/>
    <w:uiPriority w:val="99"/>
    <w:semiHidden/>
    <w:unhideWhenUsed/>
    <w:rsid w:val="00B11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vrticsto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1146981627296586"/>
          <c:y val="2.3809523809523808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List1!$B$1</c:f>
              <c:strCache>
                <c:ptCount val="1"/>
                <c:pt idx="0">
                  <c:v>PRIHODI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D17-4635-8574-2FDF847E051D}"/>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FD17-4635-8574-2FDF847E051D}"/>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FD17-4635-8574-2FDF847E051D}"/>
              </c:ext>
            </c:extLst>
          </c:dPt>
          <c:dLbls>
            <c:dLbl>
              <c:idx val="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ln>
                        <a:solidFill>
                          <a:schemeClr val="bg1"/>
                        </a:solidFill>
                      </a:ln>
                      <a:solidFill>
                        <a:schemeClr val="bg1"/>
                      </a:solidFill>
                      <a:latin typeface="+mn-lt"/>
                      <a:ea typeface="+mn-ea"/>
                      <a:cs typeface="+mn-cs"/>
                    </a:defRPr>
                  </a:pPr>
                  <a:endParaRPr lang="en-US"/>
                </a:p>
              </c:txPr>
              <c:dLblPos val="ctr"/>
              <c:showLegendKey val="0"/>
              <c:showVal val="0"/>
              <c:showCatName val="0"/>
              <c:showSerName val="0"/>
              <c:showPercent val="1"/>
              <c:showBubbleSize val="0"/>
            </c:dLbl>
            <c:dLbl>
              <c:idx val="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ln>
                        <a:solidFill>
                          <a:schemeClr val="bg1"/>
                        </a:solidFill>
                      </a:ln>
                      <a:solidFill>
                        <a:schemeClr val="bg1"/>
                      </a:solidFill>
                      <a:latin typeface="+mn-lt"/>
                      <a:ea typeface="+mn-ea"/>
                      <a:cs typeface="+mn-cs"/>
                    </a:defRPr>
                  </a:pPr>
                  <a:endParaRPr lang="en-US"/>
                </a:p>
              </c:txPr>
              <c:dLblPos val="ctr"/>
              <c:showLegendKey val="0"/>
              <c:showVal val="0"/>
              <c:showCatName val="0"/>
              <c:showSerName val="0"/>
              <c:showPercent val="1"/>
              <c:showBubbleSize val="0"/>
            </c:dLbl>
            <c:dLbl>
              <c:idx val="2"/>
              <c:layout>
                <c:manualLayout>
                  <c:x val="5.5554644211140231E-2"/>
                  <c:y val="0.20308998334342823"/>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ln>
                        <a:solidFill>
                          <a:schemeClr val="bg1"/>
                        </a:solidFill>
                      </a:ln>
                      <a:solidFill>
                        <a:schemeClr val="bg1"/>
                      </a:solidFill>
                      <a:latin typeface="+mn-lt"/>
                      <a:ea typeface="+mn-ea"/>
                      <a:cs typeface="+mn-cs"/>
                    </a:defRPr>
                  </a:pPr>
                  <a:endParaRPr lang="en-US"/>
                </a:p>
              </c:txPr>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FD17-4635-8574-2FDF847E051D}"/>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ln>
                      <a:solidFill>
                        <a:schemeClr val="bg1"/>
                      </a:solidFill>
                    </a:ln>
                    <a:solidFill>
                      <a:schemeClr val="dk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List1!$A$2:$A$4</c:f>
              <c:strCache>
                <c:ptCount val="3"/>
                <c:pt idx="0">
                  <c:v>PRIHODI POSLOVANJA</c:v>
                </c:pt>
                <c:pt idx="1">
                  <c:v>PRIHODI OD PRODAJE NEFINANCIJSKE IMOVINE</c:v>
                </c:pt>
                <c:pt idx="2">
                  <c:v>PRIMICI OD FINANCIJSKE IMOVINE I ZADUŽIVANJA</c:v>
                </c:pt>
              </c:strCache>
            </c:strRef>
          </c:cat>
          <c:val>
            <c:numRef>
              <c:f>List1!$B$2:$B$4</c:f>
              <c:numCache>
                <c:formatCode>General</c:formatCode>
                <c:ptCount val="3"/>
                <c:pt idx="0">
                  <c:v>37.770000000000003</c:v>
                </c:pt>
                <c:pt idx="1">
                  <c:v>0</c:v>
                </c:pt>
                <c:pt idx="2">
                  <c:v>0</c:v>
                </c:pt>
              </c:numCache>
            </c:numRef>
          </c:val>
          <c:extLst xmlns:c16r2="http://schemas.microsoft.com/office/drawing/2015/06/chart">
            <c:ext xmlns:c16="http://schemas.microsoft.com/office/drawing/2014/chart" uri="{C3380CC4-5D6E-409C-BE32-E72D297353CC}">
              <c16:uniqueId val="{00000000-FD17-4635-8574-2FDF847E051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solidFill>
            <a:schemeClr val="tx1"/>
          </a:solid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bg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7.1432997958588498E-2"/>
          <c:y val="0.16656761654793151"/>
          <c:w val="0.46070592738407701"/>
          <c:h val="0.78978158980127489"/>
        </c:manualLayout>
      </c:layout>
      <c:pieChart>
        <c:varyColors val="1"/>
        <c:ser>
          <c:idx val="0"/>
          <c:order val="0"/>
          <c:tx>
            <c:strRef>
              <c:f>List1!$B$1</c:f>
              <c:strCache>
                <c:ptCount val="1"/>
                <c:pt idx="0">
                  <c:v>PRIHODI POSLOVANJA</c:v>
                </c:pt>
              </c:strCache>
            </c:strRef>
          </c:tx>
          <c:spPr>
            <a:ln>
              <a:solidFill>
                <a:schemeClr val="accent1">
                  <a:alpha val="88000"/>
                </a:schemeClr>
              </a:solidFill>
            </a:ln>
          </c:spPr>
          <c:dPt>
            <c:idx val="0"/>
            <c:bubble3D val="0"/>
            <c:spPr>
              <a:solidFill>
                <a:schemeClr val="accent1"/>
              </a:solidFill>
              <a:ln>
                <a:solidFill>
                  <a:schemeClr val="accent1">
                    <a:alpha val="88000"/>
                  </a:schemeClr>
                </a:solid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C465-49C9-94EC-B39BF93992C4}"/>
              </c:ext>
            </c:extLst>
          </c:dPt>
          <c:dPt>
            <c:idx val="1"/>
            <c:bubble3D val="0"/>
            <c:spPr>
              <a:solidFill>
                <a:schemeClr val="accent2"/>
              </a:solidFill>
              <a:ln>
                <a:solidFill>
                  <a:schemeClr val="accent1">
                    <a:alpha val="88000"/>
                  </a:schemeClr>
                </a:solid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C465-49C9-94EC-B39BF93992C4}"/>
              </c:ext>
            </c:extLst>
          </c:dPt>
          <c:dPt>
            <c:idx val="2"/>
            <c:bubble3D val="0"/>
            <c:spPr>
              <a:solidFill>
                <a:schemeClr val="accent3"/>
              </a:solidFill>
              <a:ln>
                <a:solidFill>
                  <a:schemeClr val="accent1">
                    <a:alpha val="88000"/>
                  </a:schemeClr>
                </a:solid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C465-49C9-94EC-B39BF93992C4}"/>
              </c:ext>
            </c:extLst>
          </c:dPt>
          <c:dPt>
            <c:idx val="3"/>
            <c:bubble3D val="0"/>
            <c:spPr>
              <a:solidFill>
                <a:schemeClr val="accent4"/>
              </a:solidFill>
              <a:ln>
                <a:solidFill>
                  <a:schemeClr val="accent1">
                    <a:alpha val="88000"/>
                  </a:schemeClr>
                </a:solid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C465-49C9-94EC-B39BF93992C4}"/>
              </c:ext>
            </c:extLst>
          </c:dPt>
          <c:dLbls>
            <c:dLbl>
              <c:idx val="1"/>
              <c:layout>
                <c:manualLayout>
                  <c:x val="-1.0859580052493439E-3"/>
                  <c:y val="0.15610486189226347"/>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C465-49C9-94EC-B39BF93992C4}"/>
                </c:ext>
                <c:ext xmlns:c15="http://schemas.microsoft.com/office/drawing/2012/chart" uri="{CE6537A1-D6FC-4f65-9D91-7224C49458BB}"/>
              </c:extLst>
            </c:dLbl>
            <c:dLbl>
              <c:idx val="2"/>
              <c:layout>
                <c:manualLayout>
                  <c:x val="-4.3556430446194228E-2"/>
                  <c:y val="0.21693382077240345"/>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C465-49C9-94EC-B39BF93992C4}"/>
                </c:ext>
                <c:ext xmlns:c15="http://schemas.microsoft.com/office/drawing/2012/chart" uri="{CE6537A1-D6FC-4f65-9D91-7224C49458BB}"/>
              </c:extLst>
            </c:dLbl>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List1!$A$2:$A$5</c:f>
              <c:strCache>
                <c:ptCount val="4"/>
                <c:pt idx="0">
                  <c:v>POMOĆI IZ INOZEMSTVA I OD SUBJEKATA UNUTAR OPĆEG PRORAČUNA</c:v>
                </c:pt>
                <c:pt idx="1">
                  <c:v>PRIHODI OD IMOVINE</c:v>
                </c:pt>
                <c:pt idx="2">
                  <c:v>PRIHODI OD UPRAVNIH I ADMINISTRATIVNIH PRISTOJBI, PO POSEBNIM PROPISIMA I NAKNADA</c:v>
                </c:pt>
                <c:pt idx="3">
                  <c:v>PRIHODI IZ NADLEŽNOG PRORAČUNA</c:v>
                </c:pt>
              </c:strCache>
            </c:strRef>
          </c:cat>
          <c:val>
            <c:numRef>
              <c:f>List1!$B$2:$B$5</c:f>
              <c:numCache>
                <c:formatCode>General</c:formatCode>
                <c:ptCount val="4"/>
                <c:pt idx="0">
                  <c:v>0.09</c:v>
                </c:pt>
                <c:pt idx="1">
                  <c:v>0</c:v>
                </c:pt>
                <c:pt idx="2">
                  <c:v>9.9</c:v>
                </c:pt>
                <c:pt idx="3">
                  <c:v>90.01</c:v>
                </c:pt>
              </c:numCache>
            </c:numRef>
          </c:val>
          <c:extLst xmlns:c16r2="http://schemas.microsoft.com/office/drawing/2015/06/chart">
            <c:ext xmlns:c16="http://schemas.microsoft.com/office/drawing/2014/chart" uri="{C3380CC4-5D6E-409C-BE32-E72D297353CC}">
              <c16:uniqueId val="{00000008-C465-49C9-94EC-B39BF93992C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solidFill>
            <a:schemeClr val="tx1"/>
          </a:solid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no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List1!$B$1</c:f>
              <c:strCache>
                <c:ptCount val="1"/>
                <c:pt idx="0">
                  <c:v>RASHODI</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EA39-4D94-9A2C-D68CDEE00A0D}"/>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EA39-4D94-9A2C-D68CDEE00A0D}"/>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5-EA39-4D94-9A2C-D68CDEE00A0D}"/>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7-EA39-4D94-9A2C-D68CDEE00A0D}"/>
              </c:ext>
            </c:extLst>
          </c:dPt>
          <c:cat>
            <c:strRef>
              <c:f>List1!$A$2:$A$5</c:f>
              <c:strCache>
                <c:ptCount val="4"/>
                <c:pt idx="0">
                  <c:v>RASHODI ZA ZAPOSLENE</c:v>
                </c:pt>
                <c:pt idx="1">
                  <c:v>MATERIJALNI RASHODI</c:v>
                </c:pt>
                <c:pt idx="2">
                  <c:v>FINANCIJSKI RASHODI</c:v>
                </c:pt>
                <c:pt idx="3">
                  <c:v>RASHODI ZA NABAVU PROIZVEDENE DUGOTRAJNE IMOVINE</c:v>
                </c:pt>
              </c:strCache>
            </c:strRef>
          </c:cat>
          <c:val>
            <c:numRef>
              <c:f>List1!$B$2:$B$5</c:f>
              <c:numCache>
                <c:formatCode>General</c:formatCode>
                <c:ptCount val="4"/>
                <c:pt idx="0">
                  <c:v>84.8</c:v>
                </c:pt>
                <c:pt idx="1">
                  <c:v>14.45</c:v>
                </c:pt>
                <c:pt idx="2">
                  <c:v>0.15</c:v>
                </c:pt>
                <c:pt idx="3">
                  <c:v>0.6</c:v>
                </c:pt>
              </c:numCache>
            </c:numRef>
          </c:val>
          <c:extLst xmlns:c16r2="http://schemas.microsoft.com/office/drawing/2015/06/chart">
            <c:ext xmlns:c16="http://schemas.microsoft.com/office/drawing/2014/chart" uri="{C3380CC4-5D6E-409C-BE32-E72D297353CC}">
              <c16:uniqueId val="{00000000-3B85-4521-B736-A81ACC1D0571}"/>
            </c:ext>
          </c:extLst>
        </c:ser>
        <c:dLbls>
          <c:showLegendKey val="0"/>
          <c:showVal val="0"/>
          <c:showCatName val="0"/>
          <c:showSerName val="0"/>
          <c:showPercent val="0"/>
          <c:showBubbleSize val="0"/>
          <c:showLeaderLines val="1"/>
        </c:dLbls>
      </c:pie3DChart>
      <c:spPr>
        <a:noFill/>
        <a:ln>
          <a:noFill/>
        </a:ln>
        <a:effectLst/>
      </c:spPr>
    </c:plotArea>
    <c:legend>
      <c:legendPos val="b"/>
      <c:overlay val="0"/>
      <c:spPr>
        <a:solidFill>
          <a:schemeClr val="lt1"/>
        </a:solidFill>
        <a:ln w="9525" cap="flat" cmpd="sng" algn="ctr">
          <a:solidFill>
            <a:schemeClr val="tx1"/>
          </a:solidFill>
          <a:prstDash val="solid"/>
          <a:miter lim="800000"/>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2778</Words>
  <Characters>15837</Characters>
  <Application>Microsoft Office Word</Application>
  <DocSecurity>0</DocSecurity>
  <Lines>131</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Rasinja</dc:creator>
  <cp:keywords/>
  <dc:description/>
  <cp:lastModifiedBy>Korisnik</cp:lastModifiedBy>
  <cp:revision>2</cp:revision>
  <dcterms:created xsi:type="dcterms:W3CDTF">2026-03-30T08:54:00Z</dcterms:created>
  <dcterms:modified xsi:type="dcterms:W3CDTF">2026-03-30T08:54:00Z</dcterms:modified>
</cp:coreProperties>
</file>